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65" w:rsidRDefault="00FB3365" w:rsidP="00FB3365">
      <w:pPr>
        <w:pStyle w:val="TCB"/>
      </w:pPr>
      <w:bookmarkStart w:id="0" w:name="_Toc279043220"/>
      <w:bookmarkStart w:id="1" w:name="_Toc279043233"/>
      <w:bookmarkStart w:id="2" w:name="_Toc282000066"/>
      <w:bookmarkStart w:id="3" w:name="_Toc282070107"/>
      <w:bookmarkStart w:id="4" w:name="_Toc278211954"/>
      <w:bookmarkStart w:id="5" w:name="_Toc278294013"/>
      <w:bookmarkStart w:id="6" w:name="_Toc278985597"/>
      <w:bookmarkStart w:id="7" w:name="_Toc324842675"/>
      <w:bookmarkStart w:id="8" w:name="_Toc338675187"/>
      <w:bookmarkStart w:id="9" w:name="_Toc338675192"/>
      <w:bookmarkStart w:id="10" w:name="_Toc341947494"/>
      <w:bookmarkStart w:id="11" w:name="_Toc341947497"/>
      <w:r>
        <w:rPr>
          <w:noProof/>
        </w:rPr>
        <mc:AlternateContent>
          <mc:Choice Requires="wpg">
            <w:drawing>
              <wp:anchor distT="0" distB="0" distL="114300" distR="114300" simplePos="0" relativeHeight="251659264" behindDoc="0" locked="1" layoutInCell="0" allowOverlap="0" wp14:anchorId="032FF77B" wp14:editId="6235E27A">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365" w:rsidRPr="003C69D0" w:rsidRDefault="00FB3365">
                                <w:pPr>
                                  <w:pStyle w:val="BodyText"/>
                                  <w:rPr>
                                    <w:b/>
                                    <w:bCs/>
                                    <w:smallCaps/>
                                    <w:spacing w:val="-2"/>
                                    <w:kern w:val="16"/>
                                    <w:sz w:val="17"/>
                                    <w:szCs w:val="17"/>
                                  </w:rPr>
                                </w:pPr>
                                <w:r w:rsidRPr="003C69D0">
                                  <w:rPr>
                                    <w:b/>
                                    <w:bCs/>
                                    <w:smallCaps/>
                                    <w:spacing w:val="-2"/>
                                    <w:kern w:val="16"/>
                                    <w:sz w:val="17"/>
                                    <w:szCs w:val="17"/>
                                  </w:rPr>
                                  <w:t>_______________________________________</w:t>
                                </w:r>
                              </w:p>
                              <w:p w:rsidR="00FB3365" w:rsidRPr="006E3B8C" w:rsidRDefault="00FB336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B3365" w:rsidRPr="00AE3F23" w:rsidRDefault="00FB336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32FF77B" id="Group 26" o:spid="_x0000_s1026"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FB3365" w:rsidRPr="003C69D0" w:rsidRDefault="00FB3365">
                          <w:pPr>
                            <w:pStyle w:val="BodyText"/>
                            <w:rPr>
                              <w:b/>
                              <w:bCs/>
                              <w:smallCaps/>
                              <w:spacing w:val="-2"/>
                              <w:kern w:val="16"/>
                              <w:sz w:val="17"/>
                              <w:szCs w:val="17"/>
                            </w:rPr>
                          </w:pPr>
                          <w:r w:rsidRPr="003C69D0">
                            <w:rPr>
                              <w:b/>
                              <w:bCs/>
                              <w:smallCaps/>
                              <w:spacing w:val="-2"/>
                              <w:kern w:val="16"/>
                              <w:sz w:val="17"/>
                              <w:szCs w:val="17"/>
                            </w:rPr>
                            <w:t>_______________________________________</w:t>
                          </w:r>
                        </w:p>
                        <w:p w:rsidR="00FB3365" w:rsidRPr="006E3B8C" w:rsidRDefault="00FB336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">
                    <v:imagedata r:id="rId9" o:title="WordmarkCAD-gray-128"/>
                  </v:shape>
                </v:group>
                <v:shape id="Text Box 30" o:spid="_x0000_s1030" type="#_x0000_t202" style="position:absolute;left:7924;top:1395;width:3049;height:11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FB3365" w:rsidRPr="00AE3F23" w:rsidRDefault="00FB336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FB3365" w:rsidRPr="00AE3F23" w:rsidRDefault="00FB336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FB3365" w:rsidRDefault="007B1F96" w:rsidP="00FB3365">
      <w:pPr>
        <w:pStyle w:val="TCB"/>
        <w:rPr>
          <w:noProof/>
        </w:rPr>
      </w:pPr>
      <w:r>
        <w:rPr>
          <w:noProof/>
        </w:rPr>
        <w:fldChar w:fldCharType="begin"/>
      </w:r>
      <w:r>
        <w:rPr>
          <w:noProof/>
        </w:rPr>
        <w:instrText xml:space="preserve"> DOCPROPERTY "Facility"  \* MERGEFORMAT </w:instrText>
      </w:r>
      <w:r>
        <w:rPr>
          <w:noProof/>
        </w:rPr>
        <w:fldChar w:fldCharType="separate"/>
      </w:r>
      <w:r w:rsidR="00FB3365">
        <w:rPr>
          <w:noProof/>
        </w:rPr>
        <w:t>BuildingName</w:t>
      </w:r>
      <w:r>
        <w:rPr>
          <w:noProof/>
        </w:rPr>
        <w:fldChar w:fldCharType="end"/>
      </w:r>
      <w:r w:rsidR="00FB3365" w:rsidRPr="00CD5DC8">
        <w:rPr>
          <w:noProof/>
        </w:rPr>
        <w:br/>
      </w:r>
      <w:r>
        <w:rPr>
          <w:noProof/>
        </w:rPr>
        <w:fldChar w:fldCharType="begin"/>
      </w:r>
      <w:r>
        <w:rPr>
          <w:noProof/>
        </w:rPr>
        <w:instrText xml:space="preserve"> DOCPROPERTY "Project"  \* MERGEFORMAT </w:instrText>
      </w:r>
      <w:r>
        <w:rPr>
          <w:noProof/>
        </w:rPr>
        <w:fldChar w:fldCharType="separate"/>
      </w:r>
      <w:r w:rsidR="00FB3365">
        <w:rPr>
          <w:noProof/>
        </w:rPr>
        <w:t>The Description of the Project</w:t>
      </w:r>
      <w:r>
        <w:rPr>
          <w:noProof/>
        </w:rPr>
        <w:fldChar w:fldCharType="end"/>
      </w:r>
      <w:r w:rsidR="00FB3365" w:rsidRPr="00CD5DC8">
        <w:rPr>
          <w:noProof/>
        </w:rPr>
        <w:br/>
      </w:r>
      <w:r>
        <w:rPr>
          <w:noProof/>
        </w:rPr>
        <w:fldChar w:fldCharType="begin"/>
      </w:r>
      <w:r>
        <w:rPr>
          <w:noProof/>
        </w:rPr>
        <w:instrText xml:space="preserve"> DOCPROPERTY "ProjNo"  \* MERGEFORMAT </w:instrText>
      </w:r>
      <w:r>
        <w:rPr>
          <w:noProof/>
        </w:rPr>
        <w:fldChar w:fldCharType="separate"/>
      </w:r>
      <w:r w:rsidR="00FB3365">
        <w:rPr>
          <w:noProof/>
        </w:rPr>
        <w:t>P00000000</w:t>
      </w:r>
      <w:r>
        <w:rPr>
          <w:noProof/>
        </w:rPr>
        <w:fldChar w:fldCharType="end"/>
      </w:r>
      <w:r w:rsidR="00FB3365" w:rsidRPr="00CD5DC8">
        <w:rPr>
          <w:noProof/>
        </w:rPr>
        <w:t xml:space="preserve">  </w:t>
      </w:r>
      <w:r>
        <w:rPr>
          <w:noProof/>
        </w:rPr>
        <w:fldChar w:fldCharType="begin"/>
      </w:r>
      <w:r>
        <w:rPr>
          <w:noProof/>
        </w:rPr>
        <w:instrText xml:space="preserve"> DOCPROPERTY "BldgNo"  \* MERGEFORMAT </w:instrText>
      </w:r>
      <w:r>
        <w:rPr>
          <w:noProof/>
        </w:rPr>
        <w:fldChar w:fldCharType="separate"/>
      </w:r>
      <w:r w:rsidR="00FB3365">
        <w:rPr>
          <w:noProof/>
        </w:rPr>
        <w:t>0000</w:t>
      </w:r>
      <w:r>
        <w:rPr>
          <w:noProof/>
        </w:rPr>
        <w:fldChar w:fldCharType="end"/>
      </w:r>
    </w:p>
    <w:p w:rsidR="00FB3365" w:rsidRPr="0010430E" w:rsidRDefault="00FB3365" w:rsidP="00FB3365">
      <w:pPr>
        <w:pStyle w:val="tocdiv"/>
        <w:rPr>
          <w:color w:val="FFFFFF" w:themeColor="background1"/>
        </w:rPr>
      </w:pPr>
      <w:r w:rsidRPr="0010430E">
        <w:rPr>
          <w:color w:val="FFFFFF" w:themeColor="background1"/>
        </w:rPr>
        <w:t>DOCUMENTS</w:t>
      </w:r>
    </w:p>
    <w:p w:rsidR="00FB3365" w:rsidRPr="0010430E" w:rsidRDefault="00FB3365" w:rsidP="00FB3365">
      <w:pPr>
        <w:pStyle w:val="TCB"/>
        <w:rPr>
          <w:color w:val="FFFFFF" w:themeColor="background1"/>
        </w:rPr>
      </w:pPr>
    </w:p>
    <w:p w:rsidR="00FB3365" w:rsidRDefault="00FB3365" w:rsidP="00FB3365">
      <w:pPr>
        <w:pStyle w:val="TCB"/>
      </w:pPr>
    </w:p>
    <w:p w:rsidR="00FB3365" w:rsidRDefault="00FB3365" w:rsidP="00FB3365">
      <w:pPr>
        <w:pStyle w:val="TCB"/>
      </w:pPr>
      <w:r>
        <w:t>SPECIFICATION DIVISION  27</w:t>
      </w:r>
    </w:p>
    <w:p w:rsidR="00FB3365" w:rsidRDefault="00FB3365" w:rsidP="00FB3365">
      <w:pPr>
        <w:pStyle w:val="TCH"/>
      </w:pPr>
      <w:r>
        <w:t>NUMBER      SECTION DESCRIPTION</w:t>
      </w:r>
    </w:p>
    <w:p w:rsidR="00FB3365" w:rsidRDefault="00FB3365" w:rsidP="00FB336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Pr>
          <w:noProof/>
        </w:rPr>
        <w:t>DIVISION 27 COMMUNICATIONS</w:t>
      </w:r>
    </w:p>
    <w:p w:rsidR="00FB3365" w:rsidRDefault="00FB3365" w:rsidP="00FB3365">
      <w:pPr>
        <w:pStyle w:val="TOC2"/>
        <w:rPr>
          <w:rFonts w:asciiTheme="minorHAnsi" w:eastAsiaTheme="minorEastAsia" w:hAnsiTheme="minorHAnsi" w:cstheme="minorBidi"/>
          <w:noProof/>
          <w:sz w:val="22"/>
          <w:szCs w:val="22"/>
        </w:rPr>
      </w:pPr>
      <w:r w:rsidRPr="00285BC5">
        <w:rPr>
          <w:noProof/>
        </w:rPr>
        <w:t>SECTION 275313 – CLOCK SYSTEMS</w:t>
      </w:r>
    </w:p>
    <w:p w:rsidR="00FB3365" w:rsidRDefault="00FB3365" w:rsidP="00FB3365">
      <w:pPr>
        <w:pStyle w:val="EOS"/>
      </w:pPr>
      <w:r>
        <w:fldChar w:fldCharType="end"/>
      </w:r>
      <w:r>
        <w:t>END OF CONTENTS TABLE</w:t>
      </w:r>
    </w:p>
    <w:p w:rsidR="00FB3365" w:rsidRDefault="00FB3365" w:rsidP="00FB3365">
      <w:pPr>
        <w:sectPr w:rsidR="00FB3365" w:rsidSect="00FB3365">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080" w:bottom="1440" w:left="1440" w:header="720" w:footer="475" w:gutter="720"/>
          <w:pgNumType w:start="1"/>
          <w:cols w:space="144"/>
          <w:docGrid w:linePitch="299"/>
        </w:sectPr>
      </w:pPr>
    </w:p>
    <w:p w:rsidR="00FB3365" w:rsidRPr="00FB3365" w:rsidRDefault="00FB3365" w:rsidP="00FB3365">
      <w:pPr>
        <w:pStyle w:val="DET"/>
      </w:pPr>
      <w:bookmarkStart w:id="12" w:name="_Toc341947500"/>
      <w:r>
        <w:lastRenderedPageBreak/>
        <w:t>DIVISION 27 COMMUNICATIONS</w:t>
      </w:r>
      <w:bookmarkEnd w:id="12"/>
    </w:p>
    <w:p w:rsidR="00350889" w:rsidRPr="00A638C4" w:rsidRDefault="00FB3365" w:rsidP="00FB3365">
      <w:pPr>
        <w:pStyle w:val="SCT"/>
      </w:pPr>
      <w:bookmarkStart w:id="13" w:name="_Toc341947501"/>
      <w:r w:rsidRPr="00A638C4">
        <w:rPr>
          <w:caps w:val="0"/>
        </w:rPr>
        <w:t xml:space="preserve">SECTION 275313 – </w:t>
      </w:r>
      <w:bookmarkStart w:id="14" w:name="_Toc278294014"/>
      <w:bookmarkStart w:id="15" w:name="_Toc278985598"/>
      <w:bookmarkEnd w:id="0"/>
      <w:bookmarkEnd w:id="1"/>
      <w:bookmarkEnd w:id="2"/>
      <w:bookmarkEnd w:id="3"/>
      <w:bookmarkEnd w:id="4"/>
      <w:bookmarkEnd w:id="5"/>
      <w:bookmarkEnd w:id="6"/>
      <w:bookmarkEnd w:id="7"/>
      <w:r w:rsidRPr="00A638C4">
        <w:rPr>
          <w:caps w:val="0"/>
        </w:rPr>
        <w:t>CLOCK SYSTEMS</w:t>
      </w:r>
      <w:bookmarkEnd w:id="8"/>
      <w:bookmarkEnd w:id="9"/>
      <w:bookmarkEnd w:id="10"/>
      <w:bookmarkEnd w:id="11"/>
      <w:bookmarkEnd w:id="13"/>
    </w:p>
    <w:bookmarkEnd w:id="14"/>
    <w:bookmarkEnd w:id="15"/>
    <w:p w:rsidR="005E47B5" w:rsidRDefault="005E47B5" w:rsidP="00FB3365">
      <w:pPr>
        <w:pStyle w:val="PRT"/>
      </w:pPr>
      <w:r>
        <w:t>General</w:t>
      </w:r>
    </w:p>
    <w:p w:rsidR="005E47B5" w:rsidRDefault="005E47B5" w:rsidP="00FB3365">
      <w:pPr>
        <w:pStyle w:val="ART"/>
      </w:pPr>
      <w:r>
        <w:t>RELATED DOCUMENTS</w:t>
      </w:r>
    </w:p>
    <w:p w:rsidR="005E47B5" w:rsidRDefault="005E47B5" w:rsidP="00FB3365">
      <w:pPr>
        <w:pStyle w:val="CMT"/>
      </w:pPr>
      <w:r>
        <w:t>INCLUDE PARAGRAPH 1.1.A and b IN EVERY SPECIFICATION SECTION. EDIT related sections 1.1.B to make it project specific.</w:t>
      </w:r>
    </w:p>
    <w:p w:rsidR="005E47B5" w:rsidRDefault="005E47B5" w:rsidP="00FB3365">
      <w:pPr>
        <w:pStyle w:val="PR1"/>
      </w:pPr>
      <w:r>
        <w:t xml:space="preserve">Drawings and general provisions of the Contract, Standard General and Supplementary General Conditions, Division 1 Specification Sections, and other applicable Specification Sections including the Related Sections listed below, apply to this Section. </w:t>
      </w:r>
    </w:p>
    <w:p w:rsidR="004915D0" w:rsidRPr="00350889" w:rsidRDefault="00350889" w:rsidP="00FB3365">
      <w:pPr>
        <w:pStyle w:val="PR1"/>
      </w:pPr>
      <w:r w:rsidRPr="00350889">
        <w:t>Related Sections:</w:t>
      </w:r>
      <w:r w:rsidR="004915D0" w:rsidRPr="004915D0">
        <w:t xml:space="preserve"> </w:t>
      </w:r>
    </w:p>
    <w:p w:rsidR="009F41EC" w:rsidRPr="00BC5BFE" w:rsidRDefault="009F41EC" w:rsidP="00FB3365">
      <w:pPr>
        <w:pStyle w:val="CMT"/>
      </w:pPr>
      <w:r w:rsidRPr="000F3EB3">
        <w:t>IN 1 and 2 BELOW,</w:t>
      </w:r>
      <w:r>
        <w:t xml:space="preserve">  </w:t>
      </w:r>
      <w:r w:rsidRPr="0004397D">
        <w:t xml:space="preserve">delete Sustainable design if not applicable to </w:t>
      </w:r>
      <w:r>
        <w:t xml:space="preserve">the </w:t>
      </w:r>
      <w:r w:rsidRPr="0004397D">
        <w:t xml:space="preserve">project. </w:t>
      </w:r>
      <w:r>
        <w:t xml:space="preserve"> </w:t>
      </w:r>
      <w:r w:rsidRPr="000F3EB3">
        <w:t xml:space="preserve">SELECT PROPER </w:t>
      </w:r>
      <w:r>
        <w:t xml:space="preserve">COMMISSIONING </w:t>
      </w:r>
      <w:r w:rsidRPr="000F3EB3">
        <w:t>SPEC SECTION NUMBER</w:t>
      </w:r>
      <w:r>
        <w:t xml:space="preserve"> APPLICABLE TO THE project.</w:t>
      </w:r>
    </w:p>
    <w:p w:rsidR="009F41EC" w:rsidRDefault="009F41EC" w:rsidP="00FB3365">
      <w:pPr>
        <w:pStyle w:val="PR1"/>
      </w:pPr>
      <w:r>
        <w:t>Related Sections:</w:t>
      </w:r>
    </w:p>
    <w:p w:rsidR="009F41EC" w:rsidRDefault="009F41EC" w:rsidP="00FB3365">
      <w:pPr>
        <w:pStyle w:val="PR2"/>
      </w:pPr>
      <w:r>
        <w:t>Section 018113 - Sustainable Design Requirements</w:t>
      </w:r>
    </w:p>
    <w:p w:rsidR="009F41EC" w:rsidRDefault="009F41EC" w:rsidP="00FB3365">
      <w:pPr>
        <w:pStyle w:val="PR2"/>
      </w:pPr>
      <w:r>
        <w:t>Section 019100/019110 - Commissioning</w:t>
      </w:r>
    </w:p>
    <w:p w:rsidR="009F41EC" w:rsidRDefault="009F41EC" w:rsidP="00FB3365">
      <w:pPr>
        <w:pStyle w:val="PR2"/>
      </w:pPr>
      <w:r>
        <w:t>Section 017823 - Operation and Maintenance Manual</w:t>
      </w:r>
    </w:p>
    <w:p w:rsidR="009F41EC" w:rsidRDefault="009F41EC" w:rsidP="00FB3365">
      <w:pPr>
        <w:pStyle w:val="PR2"/>
      </w:pPr>
      <w:r>
        <w:t>Section 260513 - Medium, Low &amp; Control Voltage Cables</w:t>
      </w:r>
    </w:p>
    <w:p w:rsidR="009F41EC" w:rsidRDefault="009F41EC" w:rsidP="00FB3365">
      <w:pPr>
        <w:pStyle w:val="PR2"/>
      </w:pPr>
      <w:r>
        <w:t>Section 260526 - Grounding and Bonding for Electrical</w:t>
      </w:r>
    </w:p>
    <w:p w:rsidR="009F41EC" w:rsidRDefault="009F41EC" w:rsidP="00FB3365">
      <w:pPr>
        <w:pStyle w:val="PR2"/>
      </w:pPr>
      <w:r>
        <w:t>Section 260533 - Electrical Materials and Methods</w:t>
      </w:r>
    </w:p>
    <w:p w:rsidR="009F41EC" w:rsidRDefault="009F41EC" w:rsidP="00FB3365">
      <w:pPr>
        <w:pStyle w:val="PR2"/>
      </w:pPr>
      <w:r>
        <w:t>Section 260800 - Electrical Acceptance Tests</w:t>
      </w:r>
    </w:p>
    <w:p w:rsidR="00350889" w:rsidRPr="00350889" w:rsidRDefault="00350889" w:rsidP="00FB3365">
      <w:pPr>
        <w:pStyle w:val="ART"/>
      </w:pPr>
      <w:r w:rsidRPr="00350889">
        <w:t>SUMMARY</w:t>
      </w:r>
    </w:p>
    <w:p w:rsidR="00350889" w:rsidRPr="00350889" w:rsidRDefault="00350889" w:rsidP="00FB3365">
      <w:pPr>
        <w:pStyle w:val="PR1"/>
      </w:pPr>
      <w:r w:rsidRPr="00350889">
        <w:t>Provide all equipment, materials, labor and services necessary to furnish, install, test and turn over to the Owner the following electrical work as required by these specifications and as shown on the drawings.</w:t>
      </w:r>
    </w:p>
    <w:p w:rsidR="00350889" w:rsidRPr="00350889" w:rsidRDefault="00350889" w:rsidP="00FB3365">
      <w:pPr>
        <w:pStyle w:val="PR2"/>
      </w:pPr>
      <w:r w:rsidRPr="00350889">
        <w:t>GPS Wireless Clocks</w:t>
      </w:r>
    </w:p>
    <w:p w:rsidR="00350889" w:rsidRPr="00350889" w:rsidRDefault="00350889" w:rsidP="00FB3365">
      <w:pPr>
        <w:pStyle w:val="PR2"/>
      </w:pPr>
      <w:r w:rsidRPr="00350889">
        <w:t>GPS Signal Transmitters</w:t>
      </w:r>
    </w:p>
    <w:p w:rsidR="00350889" w:rsidRPr="00350889" w:rsidRDefault="00350889" w:rsidP="00FB3365">
      <w:pPr>
        <w:pStyle w:val="PR1"/>
      </w:pPr>
      <w:r w:rsidRPr="00350889">
        <w:t xml:space="preserve">Participate in project coordination and scheduling activities when required </w:t>
      </w:r>
      <w:r w:rsidRPr="009A4C92">
        <w:t xml:space="preserve">by </w:t>
      </w:r>
      <w:r w:rsidR="004915D0" w:rsidRPr="00844DE6">
        <w:t>Division 01</w:t>
      </w:r>
      <w:r w:rsidRPr="00350889">
        <w:t xml:space="preserve"> and in project commissioning activities when required </w:t>
      </w:r>
      <w:r w:rsidRPr="00967617">
        <w:t xml:space="preserve">by Section </w:t>
      </w:r>
      <w:r w:rsidR="00967617" w:rsidRPr="00C4672A">
        <w:t>019100</w:t>
      </w:r>
      <w:r w:rsidR="004915D0">
        <w:t>/01910</w:t>
      </w:r>
      <w:r w:rsidRPr="00967617">
        <w:t>.</w:t>
      </w:r>
    </w:p>
    <w:p w:rsidR="00350889" w:rsidRPr="00350889" w:rsidRDefault="00350889" w:rsidP="00FB3365">
      <w:pPr>
        <w:pStyle w:val="ART"/>
      </w:pPr>
      <w:r w:rsidRPr="00350889">
        <w:t>SUBMITTALS</w:t>
      </w:r>
    </w:p>
    <w:p w:rsidR="00350889" w:rsidRPr="00350889" w:rsidRDefault="00350889" w:rsidP="00FB3365">
      <w:pPr>
        <w:pStyle w:val="PR1"/>
      </w:pPr>
      <w:r w:rsidRPr="00350889">
        <w:t>Product Data Sheets.</w:t>
      </w:r>
    </w:p>
    <w:p w:rsidR="00350889" w:rsidRPr="00350889" w:rsidRDefault="00350889" w:rsidP="00FB3365">
      <w:pPr>
        <w:pStyle w:val="PR1"/>
      </w:pPr>
      <w:r w:rsidRPr="00350889">
        <w:t>Installation, Operation and Maintenance Manuals.</w:t>
      </w:r>
    </w:p>
    <w:p w:rsidR="00350889" w:rsidRPr="00350889" w:rsidRDefault="00350889" w:rsidP="00FB3365">
      <w:pPr>
        <w:pStyle w:val="PR1"/>
      </w:pPr>
      <w:r w:rsidRPr="00350889">
        <w:t>Warranty Documentation.</w:t>
      </w:r>
    </w:p>
    <w:p w:rsidR="00350889" w:rsidRPr="00973293" w:rsidRDefault="00350889" w:rsidP="00FB3365">
      <w:pPr>
        <w:pStyle w:val="ART"/>
      </w:pPr>
      <w:r w:rsidRPr="00973293">
        <w:t>QUALITY ASSURANCE</w:t>
      </w:r>
    </w:p>
    <w:p w:rsidR="00350889" w:rsidRPr="00973293" w:rsidRDefault="00350889" w:rsidP="00FB3365">
      <w:pPr>
        <w:pStyle w:val="PR1"/>
      </w:pPr>
      <w:r w:rsidRPr="00973293">
        <w:t>Manufacturers and Products: The products and manufacturers specified in this Section establish the standard of quality for the Work. Subject to compliance with all requirements, provide specified products from the manufacturers named in Part 2.</w:t>
      </w:r>
    </w:p>
    <w:p w:rsidR="00350889" w:rsidRPr="00973293" w:rsidRDefault="00350889" w:rsidP="00FB3365">
      <w:pPr>
        <w:pStyle w:val="PR1"/>
      </w:pPr>
      <w:r w:rsidRPr="00973293">
        <w:t>Reference Standards: Products in this section shall be built, tested, and installed in compliance with the specified quality assurance standards; latest editions, unless noted otherwise.</w:t>
      </w:r>
    </w:p>
    <w:p w:rsidR="00350889" w:rsidRPr="00350889" w:rsidRDefault="00350889" w:rsidP="00FB3365">
      <w:pPr>
        <w:pStyle w:val="PR2"/>
      </w:pPr>
      <w:r w:rsidRPr="00350889">
        <w:t>Reference Standards: UL.</w:t>
      </w:r>
    </w:p>
    <w:p w:rsidR="00350889" w:rsidRPr="00350889" w:rsidRDefault="00350889" w:rsidP="00FB3365">
      <w:pPr>
        <w:pStyle w:val="ART"/>
      </w:pPr>
      <w:r w:rsidRPr="00350889">
        <w:lastRenderedPageBreak/>
        <w:t xml:space="preserve">DELIVERY, STORAGE, AND HANDLING </w:t>
      </w:r>
    </w:p>
    <w:p w:rsidR="00350889" w:rsidRPr="00350889" w:rsidRDefault="00350889" w:rsidP="00FB3365">
      <w:pPr>
        <w:pStyle w:val="PR1"/>
      </w:pPr>
      <w:r w:rsidRPr="00350889">
        <w:t xml:space="preserve">Deliver clocks adequately packaged to prevent damage during shipment, staging and installation. </w:t>
      </w:r>
    </w:p>
    <w:p w:rsidR="00350889" w:rsidRPr="00350889" w:rsidRDefault="00350889" w:rsidP="00FB3365">
      <w:pPr>
        <w:pStyle w:val="PR1"/>
      </w:pPr>
      <w:r w:rsidRPr="00350889">
        <w:t>Protect clocks during shipping and while onsite from the weather, moisture condensation, dirt and debris at all times. Store clocks raised up on pallets or other supports until ready for installation.</w:t>
      </w:r>
    </w:p>
    <w:p w:rsidR="00350889" w:rsidRPr="00350889" w:rsidRDefault="00350889" w:rsidP="00FB3365">
      <w:pPr>
        <w:pStyle w:val="ART"/>
      </w:pPr>
      <w:r w:rsidRPr="00350889">
        <w:t xml:space="preserve">WARRANTY </w:t>
      </w:r>
    </w:p>
    <w:p w:rsidR="00350889" w:rsidRPr="00350889" w:rsidRDefault="00350889" w:rsidP="00FB3365">
      <w:pPr>
        <w:pStyle w:val="PR1"/>
      </w:pPr>
      <w:r w:rsidRPr="00350889">
        <w:t>Provide a complete warranty for parts and labor for a minimum of one year from the date of Substantial Completion.</w:t>
      </w:r>
    </w:p>
    <w:p w:rsidR="00350889" w:rsidRPr="00350889" w:rsidRDefault="00350889" w:rsidP="00FB3365">
      <w:pPr>
        <w:pStyle w:val="PRT"/>
      </w:pPr>
      <w:bookmarkStart w:id="16" w:name="_Toc278184185"/>
      <w:bookmarkStart w:id="17" w:name="_Toc278184947"/>
      <w:bookmarkStart w:id="18" w:name="_Toc278185347"/>
      <w:bookmarkStart w:id="19" w:name="_Toc278213416"/>
      <w:bookmarkStart w:id="20" w:name="_Toc278294015"/>
      <w:bookmarkStart w:id="21" w:name="_Toc278985599"/>
      <w:bookmarkStart w:id="22" w:name="_Toc279043222"/>
      <w:bookmarkStart w:id="23" w:name="_Toc279043235"/>
      <w:bookmarkStart w:id="24" w:name="_Toc282000068"/>
      <w:bookmarkStart w:id="25" w:name="_Toc282070109"/>
      <w:r w:rsidRPr="00350889">
        <w:t>PRODUCTS</w:t>
      </w:r>
      <w:bookmarkEnd w:id="16"/>
      <w:bookmarkEnd w:id="17"/>
      <w:bookmarkEnd w:id="18"/>
      <w:bookmarkEnd w:id="19"/>
      <w:bookmarkEnd w:id="20"/>
      <w:bookmarkEnd w:id="21"/>
      <w:bookmarkEnd w:id="22"/>
      <w:bookmarkEnd w:id="23"/>
      <w:bookmarkEnd w:id="24"/>
      <w:bookmarkEnd w:id="25"/>
      <w:r w:rsidRPr="00350889">
        <w:t xml:space="preserve"> </w:t>
      </w:r>
    </w:p>
    <w:p w:rsidR="00350889" w:rsidRPr="00350889" w:rsidRDefault="00350889" w:rsidP="00FB3365">
      <w:pPr>
        <w:pStyle w:val="ART"/>
      </w:pPr>
      <w:r w:rsidRPr="00350889">
        <w:t xml:space="preserve">MANUFACTURERS </w:t>
      </w:r>
    </w:p>
    <w:p w:rsidR="00350889" w:rsidRPr="00350889" w:rsidRDefault="00546312" w:rsidP="00FB3365">
      <w:pPr>
        <w:pStyle w:val="PR1"/>
      </w:pPr>
      <w:r>
        <w:t xml:space="preserve">Acceptable Manufacturers: </w:t>
      </w:r>
      <w:r w:rsidR="00350889" w:rsidRPr="00350889">
        <w:t xml:space="preserve"> Primex Wireless Inc.</w:t>
      </w:r>
    </w:p>
    <w:p w:rsidR="00350889" w:rsidRPr="00350889" w:rsidRDefault="00350889" w:rsidP="00FB3365">
      <w:pPr>
        <w:pStyle w:val="ART"/>
      </w:pPr>
      <w:r w:rsidRPr="00350889">
        <w:t>CLOCKS</w:t>
      </w:r>
    </w:p>
    <w:p w:rsidR="00350889" w:rsidRPr="00350889" w:rsidRDefault="004915D0" w:rsidP="00FB3365">
      <w:pPr>
        <w:pStyle w:val="CMT"/>
      </w:pPr>
      <w:r>
        <w:t>revise</w:t>
      </w:r>
      <w:r w:rsidR="00350889" w:rsidRPr="00350889">
        <w:t xml:space="preserve"> the following paragraphs </w:t>
      </w:r>
      <w:r w:rsidR="0041696E">
        <w:t>to make them project specific</w:t>
      </w:r>
      <w:r w:rsidR="00350889" w:rsidRPr="00350889">
        <w:t>.</w:t>
      </w:r>
    </w:p>
    <w:p w:rsidR="00546312" w:rsidRPr="00350889" w:rsidRDefault="00546312" w:rsidP="00FB3365">
      <w:pPr>
        <w:pStyle w:val="CMT"/>
      </w:pPr>
      <w:r>
        <w:t xml:space="preserve">VERIFY </w:t>
      </w:r>
      <w:r w:rsidR="00AC5DA3">
        <w:t xml:space="preserve">with engineer </w:t>
      </w:r>
      <w:r w:rsidR="004915D0">
        <w:t xml:space="preserve">that </w:t>
      </w:r>
      <w:r>
        <w:t xml:space="preserve">DRAWINGS </w:t>
      </w:r>
      <w:r w:rsidR="0041696E">
        <w:t xml:space="preserve">differentiate </w:t>
      </w:r>
      <w:r>
        <w:t xml:space="preserve">120 VOLT POWERED </w:t>
      </w:r>
      <w:r w:rsidR="0041696E">
        <w:t>from</w:t>
      </w:r>
      <w:r>
        <w:t xml:space="preserve"> BATTERY POWERED, SINGLE FACE </w:t>
      </w:r>
      <w:r w:rsidR="0041696E">
        <w:t>from</w:t>
      </w:r>
      <w:r>
        <w:t xml:space="preserve"> DOUBLE FACE.</w:t>
      </w:r>
    </w:p>
    <w:p w:rsidR="00350889" w:rsidRPr="00350889" w:rsidRDefault="00546312" w:rsidP="00FB3365">
      <w:pPr>
        <w:pStyle w:val="PR1"/>
      </w:pPr>
      <w:r>
        <w:t xml:space="preserve">Clocks shall be single face wall mounted or double face edge mounted, </w:t>
      </w:r>
      <w:r w:rsidR="00350889" w:rsidRPr="00350889">
        <w:t>120 volt powered</w:t>
      </w:r>
      <w:r>
        <w:t xml:space="preserve"> or battery powered</w:t>
      </w:r>
      <w:r w:rsidR="00350889" w:rsidRPr="00350889">
        <w:t xml:space="preserve">, GPS signal synchronized, wireless, analog clocks as indicated on Drawings. </w:t>
      </w:r>
    </w:p>
    <w:p w:rsidR="00350889" w:rsidRPr="00350889" w:rsidRDefault="00350889" w:rsidP="00FB3365">
      <w:pPr>
        <w:pStyle w:val="PR1"/>
      </w:pPr>
      <w:r w:rsidRPr="00350889">
        <w:t>Clocks shall be 12.5 inch nominal diameter with white face, black polycarbonate frame, polycarbonate lens, standard black numerals, and sweep second hand.</w:t>
      </w:r>
    </w:p>
    <w:p w:rsidR="00350889" w:rsidRPr="00350889" w:rsidRDefault="00350889" w:rsidP="00FB3365">
      <w:pPr>
        <w:pStyle w:val="PR1"/>
      </w:pPr>
      <w:r w:rsidRPr="00350889">
        <w:t>Clocks shall include a GPS signal receiver to synchronize wirelessly with GPS time at least every two hours, and shall include an internal oscillator to maintain time within plus or minus 0.2 seconds between synchronizations.  Clocks shall maintain accurate time despite the temporary loss of GPS signal.  Clocks shall automatically adjust for Daylight Savings Time.</w:t>
      </w:r>
    </w:p>
    <w:p w:rsidR="00350889" w:rsidRPr="00350889" w:rsidRDefault="00546312" w:rsidP="00FB3365">
      <w:pPr>
        <w:pStyle w:val="PR1"/>
      </w:pPr>
      <w:r>
        <w:t xml:space="preserve">Single face, </w:t>
      </w:r>
      <w:r w:rsidR="00350889" w:rsidRPr="00350889">
        <w:t>120 volt powered clocks shall surface mount to the wall over a NEMA 5-20R simplex receptacle in a single-gang, flush mounted outlet box.  Clock shall mount with a clock lock hanger which requires a sequence of movements to install and remove the clock.</w:t>
      </w:r>
    </w:p>
    <w:p w:rsidR="00350889" w:rsidRPr="00350889" w:rsidRDefault="00350889" w:rsidP="00FB3365">
      <w:pPr>
        <w:pStyle w:val="PR2"/>
      </w:pPr>
      <w:r w:rsidRPr="00350889">
        <w:t>Acceptable Manufacturer:  Primex Model 14306.</w:t>
      </w:r>
    </w:p>
    <w:p w:rsidR="00546312" w:rsidRPr="00350889" w:rsidRDefault="00546312" w:rsidP="00FB3365">
      <w:pPr>
        <w:pStyle w:val="PR1"/>
      </w:pPr>
      <w:r w:rsidRPr="00350889">
        <w:t>Double face</w:t>
      </w:r>
      <w:r>
        <w:t>, 120 volt powered</w:t>
      </w:r>
      <w:r w:rsidRPr="00350889">
        <w:t xml:space="preserve"> clocks shall mount edgewise to the wall with a bracket that completely covers a NEMA 5-20R simplex receptacle in a single-gang, flush mounted outlet box.</w:t>
      </w:r>
    </w:p>
    <w:p w:rsidR="00546312" w:rsidRPr="00350889" w:rsidRDefault="00546312" w:rsidP="00FB3365">
      <w:pPr>
        <w:pStyle w:val="PR2"/>
      </w:pPr>
      <w:r w:rsidRPr="00350889">
        <w:t>Acceptable Manufacturer:  Primex Model 14330.</w:t>
      </w:r>
    </w:p>
    <w:p w:rsidR="00350889" w:rsidRPr="00350889" w:rsidRDefault="00546312" w:rsidP="00FB3365">
      <w:pPr>
        <w:pStyle w:val="PR1"/>
      </w:pPr>
      <w:r>
        <w:t>Single face, b</w:t>
      </w:r>
      <w:r w:rsidR="00350889" w:rsidRPr="00350889">
        <w:t>attery powered clocks shall surface mount to the wall over a clock lock hanger which requires a sequence of movements to install and remove the clock.</w:t>
      </w:r>
    </w:p>
    <w:p w:rsidR="00350889" w:rsidRPr="00350889" w:rsidRDefault="00350889" w:rsidP="00FB3365">
      <w:pPr>
        <w:pStyle w:val="PR2"/>
      </w:pPr>
      <w:r w:rsidRPr="00350889">
        <w:t>Acceptable Manufacturer:  Primex Model 14155.</w:t>
      </w:r>
    </w:p>
    <w:p w:rsidR="00350889" w:rsidRPr="00350889" w:rsidRDefault="00350889" w:rsidP="00FB3365">
      <w:pPr>
        <w:pStyle w:val="ART"/>
      </w:pPr>
      <w:r w:rsidRPr="00350889">
        <w:lastRenderedPageBreak/>
        <w:t>GPS SIGNAL TRANSMITTERS</w:t>
      </w:r>
    </w:p>
    <w:p w:rsidR="0053689A" w:rsidRDefault="00AF1119" w:rsidP="00FB3365">
      <w:pPr>
        <w:pStyle w:val="PR1"/>
      </w:pPr>
      <w:r w:rsidRPr="00350889">
        <w:t xml:space="preserve">GPS wireless signal transmitters </w:t>
      </w:r>
      <w:r>
        <w:t xml:space="preserve">shall </w:t>
      </w:r>
      <w:r w:rsidR="0053689A" w:rsidRPr="00350889">
        <w:t>receive and rebroadcast GPS signals</w:t>
      </w:r>
      <w:r w:rsidR="0053689A">
        <w:t xml:space="preserve"> throughout the building.</w:t>
      </w:r>
    </w:p>
    <w:p w:rsidR="00350889" w:rsidRPr="00350889" w:rsidRDefault="0053689A" w:rsidP="00FB3365">
      <w:pPr>
        <w:pStyle w:val="PR1"/>
      </w:pPr>
      <w:r>
        <w:t xml:space="preserve">GPS wireless signal transmitters shall </w:t>
      </w:r>
      <w:r w:rsidR="00AF1119">
        <w:t>be</w:t>
      </w:r>
      <w:r w:rsidR="00350889" w:rsidRPr="00350889">
        <w:t xml:space="preserve"> 120 volt powered, have an internal antenna</w:t>
      </w:r>
      <w:r>
        <w:t>,</w:t>
      </w:r>
      <w:r w:rsidR="00350889" w:rsidRPr="00350889">
        <w:t xml:space="preserve"> and produce a 1 watt GPS signal output compatible with the GPS clocks.</w:t>
      </w:r>
    </w:p>
    <w:p w:rsidR="00350889" w:rsidRPr="00350889" w:rsidRDefault="00350889" w:rsidP="00FB3365">
      <w:pPr>
        <w:pStyle w:val="PR2"/>
      </w:pPr>
      <w:r w:rsidRPr="00350889">
        <w:t>Acceptable Manufacturer:  Primex Model 14000.</w:t>
      </w:r>
    </w:p>
    <w:p w:rsidR="00350889" w:rsidRPr="00350889" w:rsidRDefault="00350889" w:rsidP="00FB3365">
      <w:pPr>
        <w:pStyle w:val="PRT"/>
      </w:pPr>
      <w:bookmarkStart w:id="26" w:name="_Toc278184186"/>
      <w:bookmarkStart w:id="27" w:name="_Toc278184948"/>
      <w:bookmarkStart w:id="28" w:name="_Toc278185348"/>
      <w:bookmarkStart w:id="29" w:name="_Toc278213417"/>
      <w:bookmarkStart w:id="30" w:name="_Toc278294016"/>
      <w:bookmarkStart w:id="31" w:name="_Toc278985600"/>
      <w:bookmarkStart w:id="32" w:name="_Toc279043223"/>
      <w:bookmarkStart w:id="33" w:name="_Toc279043236"/>
      <w:bookmarkStart w:id="34" w:name="_Toc282000069"/>
      <w:bookmarkStart w:id="35" w:name="_Toc282070110"/>
      <w:r w:rsidRPr="00350889">
        <w:t>EXECUTION</w:t>
      </w:r>
      <w:bookmarkEnd w:id="26"/>
      <w:bookmarkEnd w:id="27"/>
      <w:bookmarkEnd w:id="28"/>
      <w:bookmarkEnd w:id="29"/>
      <w:bookmarkEnd w:id="30"/>
      <w:bookmarkEnd w:id="31"/>
      <w:bookmarkEnd w:id="32"/>
      <w:bookmarkEnd w:id="33"/>
      <w:bookmarkEnd w:id="34"/>
      <w:bookmarkEnd w:id="35"/>
    </w:p>
    <w:p w:rsidR="00350889" w:rsidRPr="00350889" w:rsidRDefault="00350889" w:rsidP="00FB3365">
      <w:pPr>
        <w:pStyle w:val="ART"/>
      </w:pPr>
      <w:r w:rsidRPr="00350889">
        <w:t>EXAMINATION AND PREPARATION</w:t>
      </w:r>
    </w:p>
    <w:p w:rsidR="00350889" w:rsidRPr="00350889" w:rsidRDefault="00350889" w:rsidP="00FB3365">
      <w:pPr>
        <w:pStyle w:val="PR1"/>
      </w:pPr>
      <w:r w:rsidRPr="00350889">
        <w:t>Examine areas, substrates, and conditions, for compliance with requirements for installation and other conditions affecting performance of the units.</w:t>
      </w:r>
    </w:p>
    <w:p w:rsidR="00350889" w:rsidRPr="00350889" w:rsidRDefault="00350889" w:rsidP="00FB3365">
      <w:pPr>
        <w:pStyle w:val="PR1"/>
      </w:pPr>
      <w:r w:rsidRPr="00350889">
        <w:t>Proceed with installation only after unsatisfactory conditions have been corrected.  Commencement of the work constitutes acceptance of the existing conditions.</w:t>
      </w:r>
    </w:p>
    <w:p w:rsidR="00350889" w:rsidRPr="00350889" w:rsidRDefault="00350889" w:rsidP="00FB3365">
      <w:pPr>
        <w:pStyle w:val="ART"/>
      </w:pPr>
      <w:r w:rsidRPr="00350889">
        <w:t>INSTALLATION</w:t>
      </w:r>
    </w:p>
    <w:p w:rsidR="00350889" w:rsidRPr="00350889" w:rsidRDefault="00350889" w:rsidP="00FB3365">
      <w:pPr>
        <w:pStyle w:val="PR1"/>
      </w:pPr>
      <w:r w:rsidRPr="00350889">
        <w:t>Install clocks a</w:t>
      </w:r>
      <w:bookmarkStart w:id="36" w:name="_GoBack"/>
      <w:bookmarkEnd w:id="36"/>
      <w:r w:rsidRPr="00350889">
        <w:t>t the locations and heights shown on the drawings.</w:t>
      </w:r>
    </w:p>
    <w:p w:rsidR="00350889" w:rsidRPr="00350889" w:rsidRDefault="00350889" w:rsidP="00FB3365">
      <w:pPr>
        <w:pStyle w:val="PR1"/>
      </w:pPr>
      <w:r w:rsidRPr="00350889">
        <w:t>Install clocks plumb, level and tight against the wall using the clock-lock hanging method and suitable fasteners as recommended by the clock manufacturer.  Initiate clock operation in accordance with manufacturer’s instructions.</w:t>
      </w:r>
    </w:p>
    <w:p w:rsidR="00350889" w:rsidRPr="00350889" w:rsidRDefault="00600B7B" w:rsidP="00FB3365">
      <w:pPr>
        <w:pStyle w:val="PR1"/>
      </w:pPr>
      <w:r>
        <w:t>Due to GPS signal saturation on campus, do not install GPS signal transmitter.  Instead, turn the GPS signal transmitter over to the UM Radio Shop and commence building clock startup and commissioning activities.  If the building clocks are not synchronizing with an existing GPS signal, then co</w:t>
      </w:r>
      <w:r w:rsidR="00A954C0">
        <w:t>ntact the UM Radio Shop for installation of the new GPS signal transmitter.</w:t>
      </w:r>
    </w:p>
    <w:p w:rsidR="00350889" w:rsidRPr="00350889" w:rsidRDefault="00350889" w:rsidP="00FB3365">
      <w:pPr>
        <w:pStyle w:val="ART"/>
      </w:pPr>
      <w:r w:rsidRPr="00350889">
        <w:t>FIELD QUALITY CONTROL</w:t>
      </w:r>
    </w:p>
    <w:p w:rsidR="00350889" w:rsidRPr="00350889" w:rsidRDefault="00350889" w:rsidP="00FB3365">
      <w:pPr>
        <w:pStyle w:val="PR1"/>
      </w:pPr>
      <w:r w:rsidRPr="00350889">
        <w:t>Test units prior to putting into service to the extent required by the Manufacturer and the Commissioning Authority.</w:t>
      </w:r>
    </w:p>
    <w:p w:rsidR="00350889" w:rsidRPr="00350889" w:rsidRDefault="00350889" w:rsidP="00FB3365">
      <w:pPr>
        <w:pStyle w:val="ART"/>
      </w:pPr>
      <w:r w:rsidRPr="00350889">
        <w:t>TEMPORARY SERVICE</w:t>
      </w:r>
    </w:p>
    <w:p w:rsidR="00350889" w:rsidRPr="00350889" w:rsidRDefault="00350889" w:rsidP="00FB3365">
      <w:pPr>
        <w:pStyle w:val="PR1"/>
      </w:pPr>
      <w:r w:rsidRPr="00350889">
        <w:t>Start units for temporary use only with the expressed written permission of the Project Manager and in compliance with all requirements of the Contract Documents.</w:t>
      </w:r>
    </w:p>
    <w:p w:rsidR="00350889" w:rsidRPr="00350889" w:rsidRDefault="00350889" w:rsidP="00FB3365">
      <w:pPr>
        <w:pStyle w:val="PR1"/>
      </w:pPr>
      <w:r w:rsidRPr="00350889">
        <w:t>Test units prior to putting into temporary service to the extent required by the Manufacturer and the Commissioning Authority.</w:t>
      </w:r>
    </w:p>
    <w:p w:rsidR="00350889" w:rsidRPr="00350889" w:rsidRDefault="00350889" w:rsidP="00FB3365">
      <w:pPr>
        <w:pStyle w:val="PR1"/>
      </w:pPr>
      <w:r w:rsidRPr="00350889">
        <w:t xml:space="preserve">Perform all required routine maintenance procedures during temporary service. </w:t>
      </w:r>
    </w:p>
    <w:p w:rsidR="00350889" w:rsidRPr="00350889" w:rsidRDefault="00350889" w:rsidP="00FB3365">
      <w:pPr>
        <w:pStyle w:val="ART"/>
      </w:pPr>
      <w:r w:rsidRPr="00350889">
        <w:lastRenderedPageBreak/>
        <w:t>STARTUP</w:t>
      </w:r>
    </w:p>
    <w:p w:rsidR="00350889" w:rsidRPr="00350889" w:rsidRDefault="00350889" w:rsidP="00FB3365">
      <w:pPr>
        <w:pStyle w:val="PR1"/>
      </w:pPr>
      <w:r w:rsidRPr="00350889">
        <w:t xml:space="preserve">Conduct final inspection and testing of equipment and systems according to the manufacturer’s requirements, and verify the system meets the project design criteria. </w:t>
      </w:r>
    </w:p>
    <w:p w:rsidR="00350889" w:rsidRPr="00350889" w:rsidRDefault="00350889" w:rsidP="00FB3365">
      <w:pPr>
        <w:pStyle w:val="PR1"/>
      </w:pPr>
      <w:r w:rsidRPr="00350889">
        <w:t>Thoroughly clean units of all grease, dirt, dust, etc.</w:t>
      </w:r>
    </w:p>
    <w:p w:rsidR="002E320F" w:rsidRDefault="002E320F" w:rsidP="00FB3365">
      <w:pPr>
        <w:pStyle w:val="ART"/>
      </w:pPr>
      <w:r>
        <w:t>Commissioning</w:t>
      </w:r>
    </w:p>
    <w:p w:rsidR="002E320F" w:rsidRDefault="002E320F" w:rsidP="00FB3365">
      <w:pPr>
        <w:pStyle w:val="PR1"/>
      </w:pPr>
      <w:r>
        <w:t xml:space="preserve">Perform Commissioning activities per Related Sections above. </w:t>
      </w:r>
    </w:p>
    <w:p w:rsidR="00350889" w:rsidRDefault="00350889" w:rsidP="00FB3365">
      <w:pPr>
        <w:pStyle w:val="EOS"/>
      </w:pPr>
      <w:r w:rsidRPr="00350889">
        <w:t xml:space="preserve">END OF SECTION </w:t>
      </w:r>
      <w:r w:rsidR="00123791">
        <w:t>2753</w:t>
      </w:r>
      <w:r w:rsidR="00BC2F4F">
        <w:t>13</w:t>
      </w:r>
    </w:p>
    <w:p w:rsidR="00080796" w:rsidRPr="00350889" w:rsidRDefault="00080796" w:rsidP="00FB3365">
      <w:pPr>
        <w:pStyle w:val="EOS"/>
      </w:pPr>
    </w:p>
    <w:sectPr w:rsidR="00080796" w:rsidRPr="00350889" w:rsidSect="00FB3365">
      <w:footerReference w:type="default" r:id="rId16"/>
      <w:footnotePr>
        <w:numRestart w:val="eachSect"/>
      </w:footnotePr>
      <w:endnotePr>
        <w:numFmt w:val="decimal"/>
      </w:endnotePr>
      <w:pgSz w:w="12240" w:h="15840"/>
      <w:pgMar w:top="1440" w:right="1080" w:bottom="1440" w:left="1440" w:header="720" w:footer="475" w:gutter="720"/>
      <w:pgNumType w:start="1"/>
      <w:cols w:space="14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F4E" w:rsidRDefault="00E42F4E" w:rsidP="000A56FB">
      <w:r>
        <w:separator/>
      </w:r>
    </w:p>
  </w:endnote>
  <w:endnote w:type="continuationSeparator" w:id="0">
    <w:p w:rsidR="00E42F4E" w:rsidRDefault="00E42F4E" w:rsidP="000A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Default="00FB3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Pr="00FB3365" w:rsidRDefault="00FB3365" w:rsidP="00FB3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Default="00FB3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Pr="00FB3365" w:rsidRDefault="00FB3365" w:rsidP="00FB3365">
    <w:pPr>
      <w:pStyle w:val="Footer"/>
    </w:pPr>
    <w:fldSimple w:instr=" DOCPROPERTY &quot;Facility&quot;  \* MERGEFORMAT ">
      <w:r>
        <w:t>BuildingName</w:t>
      </w:r>
    </w:fldSimple>
    <w:r>
      <w:br/>
    </w:r>
    <w:r w:rsidR="007B1F96">
      <w:fldChar w:fldCharType="begin"/>
    </w:r>
    <w:r w:rsidR="007B1F96">
      <w:instrText xml:space="preserve"> DOCPROPERTY "Project"  \* ME</w:instrText>
    </w:r>
    <w:r w:rsidR="007B1F96">
      <w:instrText xml:space="preserve">RGEFORMAT </w:instrText>
    </w:r>
    <w:r w:rsidR="007B1F96">
      <w:fldChar w:fldCharType="separate"/>
    </w:r>
    <w:r>
      <w:t>The Description of the Project</w:t>
    </w:r>
    <w:r w:rsidR="007B1F96">
      <w:fldChar w:fldCharType="end"/>
    </w:r>
    <w:r>
      <w:br/>
    </w:r>
    <w:r w:rsidR="007B1F96">
      <w:fldChar w:fldCharType="begin"/>
    </w:r>
    <w:r w:rsidR="007B1F96">
      <w:instrText xml:space="preserve"> DOCPROPERTY "ProjNo"  \* MERGEFORMAT </w:instrText>
    </w:r>
    <w:r w:rsidR="007B1F96">
      <w:fldChar w:fldCharType="separate"/>
    </w:r>
    <w:r>
      <w:t>P00000000</w:t>
    </w:r>
    <w:r w:rsidR="007B1F96">
      <w:fldChar w:fldCharType="end"/>
    </w:r>
    <w:r>
      <w:t xml:space="preserve">  </w:t>
    </w:r>
    <w:r w:rsidR="007B1F96">
      <w:fldChar w:fldCharType="begin"/>
    </w:r>
    <w:r w:rsidR="007B1F96">
      <w:instrText xml:space="preserve"> DOCPROPERTY "BldgNo"  \* MERGEFORMAT </w:instrText>
    </w:r>
    <w:r w:rsidR="007B1F96">
      <w:fldChar w:fldCharType="separate"/>
    </w:r>
    <w:r>
      <w:t>0000</w:t>
    </w:r>
    <w:r w:rsidR="007B1F96">
      <w:fldChar w:fldCharType="end"/>
    </w:r>
    <w:r>
      <w:tab/>
      <w:t>Issued for:</w:t>
    </w:r>
    <w:fldSimple w:instr=" DOCPROPERTY  Issue2  \* MERGEFORMAT ">
      <w:r>
        <w:t>BID</w:t>
      </w:r>
    </w:fldSimple>
    <w:r>
      <w:t xml:space="preserve"> 275313 – -  </w:t>
    </w:r>
    <w:r>
      <w:fldChar w:fldCharType="begin"/>
    </w:r>
    <w:r>
      <w:instrText xml:space="preserve"> PAGE  \* MERGEFORMAT </w:instrText>
    </w:r>
    <w:r>
      <w:fldChar w:fldCharType="separate"/>
    </w:r>
    <w:r w:rsidR="007B1F9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F4E" w:rsidRDefault="00E42F4E" w:rsidP="000A56FB">
      <w:r>
        <w:separator/>
      </w:r>
    </w:p>
  </w:footnote>
  <w:footnote w:type="continuationSeparator" w:id="0">
    <w:p w:rsidR="00E42F4E" w:rsidRDefault="00E42F4E" w:rsidP="000A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Default="00FB3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Default="00FB3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65" w:rsidRDefault="00FB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15C"/>
    <w:multiLevelType w:val="multilevel"/>
    <w:tmpl w:val="6C2A2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871FF3"/>
    <w:multiLevelType w:val="multilevel"/>
    <w:tmpl w:val="E9FC1D16"/>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293A2F"/>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3"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884356F"/>
    <w:multiLevelType w:val="multilevel"/>
    <w:tmpl w:val="5AE6A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664341"/>
    <w:multiLevelType w:val="multilevel"/>
    <w:tmpl w:val="15D4C0BA"/>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6" w15:restartNumberingAfterBreak="0">
    <w:nsid w:val="32F46BF9"/>
    <w:multiLevelType w:val="multilevel"/>
    <w:tmpl w:val="4E4288F4"/>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7" w15:restartNumberingAfterBreak="0">
    <w:nsid w:val="38863983"/>
    <w:multiLevelType w:val="multilevel"/>
    <w:tmpl w:val="7EA628EC"/>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8" w15:restartNumberingAfterBreak="0">
    <w:nsid w:val="3ECA16B5"/>
    <w:multiLevelType w:val="multilevel"/>
    <w:tmpl w:val="7C0C5270"/>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abstractNum w:abstractNumId="9" w15:restartNumberingAfterBreak="0">
    <w:nsid w:val="40C17B11"/>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0" w15:restartNumberingAfterBreak="0">
    <w:nsid w:val="449132E6"/>
    <w:multiLevelType w:val="multilevel"/>
    <w:tmpl w:val="D2CC597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135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ascii="Courier New" w:eastAsia="Times New Roman" w:hAnsi="Courier New" w:cs="Times New Roman"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1" w15:restartNumberingAfterBreak="0">
    <w:nsid w:val="57B879BE"/>
    <w:multiLevelType w:val="multilevel"/>
    <w:tmpl w:val="A7BC7E32"/>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2" w15:restartNumberingAfterBreak="0">
    <w:nsid w:val="58810E1E"/>
    <w:multiLevelType w:val="multilevel"/>
    <w:tmpl w:val="5AE6A5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12A5AD8"/>
    <w:multiLevelType w:val="multilevel"/>
    <w:tmpl w:val="6A50F746"/>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4" w15:restartNumberingAfterBreak="0">
    <w:nsid w:val="6AF878A0"/>
    <w:multiLevelType w:val="multilevel"/>
    <w:tmpl w:val="9C5AAC4E"/>
    <w:lvl w:ilvl="0">
      <w:start w:val="3"/>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76"/>
        </w:tabs>
        <w:ind w:left="147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5" w15:restartNumberingAfterBreak="0">
    <w:nsid w:val="6B835DA6"/>
    <w:multiLevelType w:val="hybridMultilevel"/>
    <w:tmpl w:val="5DBE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0"/>
  </w:num>
  <w:num w:numId="11">
    <w:abstractNumId w:val="1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2"/>
  </w:num>
  <w:num w:numId="24">
    <w:abstractNumId w:val="9"/>
  </w:num>
  <w:num w:numId="25">
    <w:abstractNumId w:val="2"/>
  </w:num>
  <w:num w:numId="26">
    <w:abstractNumId w:val="6"/>
  </w:num>
  <w:num w:numId="27">
    <w:abstractNumId w:val="1"/>
  </w:num>
  <w:num w:numId="28">
    <w:abstractNumId w:val="11"/>
  </w:num>
  <w:num w:numId="29">
    <w:abstractNumId w:val="5"/>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D4"/>
    <w:rsid w:val="00080796"/>
    <w:rsid w:val="000A56FB"/>
    <w:rsid w:val="000C0A92"/>
    <w:rsid w:val="000C29B6"/>
    <w:rsid w:val="0011006E"/>
    <w:rsid w:val="00123791"/>
    <w:rsid w:val="00196D24"/>
    <w:rsid w:val="0029737C"/>
    <w:rsid w:val="002D0955"/>
    <w:rsid w:val="002E320F"/>
    <w:rsid w:val="00310D93"/>
    <w:rsid w:val="00335EDB"/>
    <w:rsid w:val="00350889"/>
    <w:rsid w:val="00362604"/>
    <w:rsid w:val="00367EE6"/>
    <w:rsid w:val="003C551D"/>
    <w:rsid w:val="00402B5C"/>
    <w:rsid w:val="00416395"/>
    <w:rsid w:val="0041696E"/>
    <w:rsid w:val="004915D0"/>
    <w:rsid w:val="0053689A"/>
    <w:rsid w:val="00546312"/>
    <w:rsid w:val="005541C9"/>
    <w:rsid w:val="005573CA"/>
    <w:rsid w:val="0057203D"/>
    <w:rsid w:val="0059529C"/>
    <w:rsid w:val="005E47B5"/>
    <w:rsid w:val="00600B7B"/>
    <w:rsid w:val="00626A6F"/>
    <w:rsid w:val="00654E95"/>
    <w:rsid w:val="00661929"/>
    <w:rsid w:val="006C3C3A"/>
    <w:rsid w:val="007B1F96"/>
    <w:rsid w:val="00844DE6"/>
    <w:rsid w:val="00883827"/>
    <w:rsid w:val="008858F0"/>
    <w:rsid w:val="008A57CD"/>
    <w:rsid w:val="008B60C8"/>
    <w:rsid w:val="009374EB"/>
    <w:rsid w:val="009450F6"/>
    <w:rsid w:val="00967617"/>
    <w:rsid w:val="00973293"/>
    <w:rsid w:val="009A4C92"/>
    <w:rsid w:val="009B5901"/>
    <w:rsid w:val="009F41EC"/>
    <w:rsid w:val="00A219BA"/>
    <w:rsid w:val="00A50046"/>
    <w:rsid w:val="00A638C4"/>
    <w:rsid w:val="00A81802"/>
    <w:rsid w:val="00A86D11"/>
    <w:rsid w:val="00A954C0"/>
    <w:rsid w:val="00AC5DA3"/>
    <w:rsid w:val="00AF1119"/>
    <w:rsid w:val="00B9633C"/>
    <w:rsid w:val="00BC2F4F"/>
    <w:rsid w:val="00BC5159"/>
    <w:rsid w:val="00C333BC"/>
    <w:rsid w:val="00C4672A"/>
    <w:rsid w:val="00DD47A9"/>
    <w:rsid w:val="00DF0830"/>
    <w:rsid w:val="00DF1CD4"/>
    <w:rsid w:val="00E42F4E"/>
    <w:rsid w:val="00EF6AEF"/>
    <w:rsid w:val="00F07404"/>
    <w:rsid w:val="00F51FFC"/>
    <w:rsid w:val="00FB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docId w15:val="{839145E8-1453-406A-B88C-7768A9CF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365"/>
    <w:pPr>
      <w:jc w:val="both"/>
    </w:pPr>
    <w:rPr>
      <w:rFonts w:ascii="Courier New" w:hAnsi="Courier New" w:cs="Courier New"/>
    </w:rPr>
  </w:style>
  <w:style w:type="paragraph" w:styleId="Heading7">
    <w:name w:val="heading 7"/>
    <w:basedOn w:val="Normal"/>
    <w:next w:val="NormalIndent"/>
    <w:link w:val="Heading7Char"/>
    <w:qFormat/>
    <w:rsid w:val="000A56FB"/>
    <w:pPr>
      <w:ind w:left="72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FB3365"/>
    <w:pPr>
      <w:keepNext/>
      <w:numPr>
        <w:ilvl w:val="3"/>
        <w:numId w:val="1"/>
      </w:numPr>
      <w:spacing w:before="360"/>
      <w:outlineLvl w:val="3"/>
    </w:pPr>
    <w:rPr>
      <w:b/>
      <w:caps/>
    </w:rPr>
  </w:style>
  <w:style w:type="paragraph" w:customStyle="1" w:styleId="CMT">
    <w:name w:val="CMT"/>
    <w:basedOn w:val="Normal"/>
    <w:next w:val="Normal"/>
    <w:rsid w:val="00FB3365"/>
    <w:pPr>
      <w:spacing w:before="240"/>
      <w:ind w:left="1440"/>
    </w:pPr>
    <w:rPr>
      <w:b/>
      <w:i/>
      <w:caps/>
      <w:vanish/>
      <w:color w:val="FF00FF"/>
    </w:rPr>
  </w:style>
  <w:style w:type="paragraph" w:customStyle="1" w:styleId="DET">
    <w:name w:val="DET"/>
    <w:basedOn w:val="Normal"/>
    <w:next w:val="Normal"/>
    <w:rsid w:val="00FB3365"/>
    <w:pPr>
      <w:keepNext/>
      <w:numPr>
        <w:numId w:val="1"/>
      </w:numPr>
      <w:outlineLvl w:val="0"/>
    </w:pPr>
    <w:rPr>
      <w:b/>
      <w:caps/>
      <w:u w:val="single"/>
    </w:rPr>
  </w:style>
  <w:style w:type="paragraph" w:styleId="DocumentMap">
    <w:name w:val="Document Map"/>
    <w:semiHidden/>
    <w:rsid w:val="00FB3365"/>
    <w:pPr>
      <w:shd w:val="clear" w:color="auto" w:fill="000080"/>
    </w:pPr>
    <w:rPr>
      <w:rFonts w:ascii="Tahoma" w:hAnsi="Tahoma"/>
      <w:sz w:val="18"/>
    </w:rPr>
  </w:style>
  <w:style w:type="paragraph" w:customStyle="1" w:styleId="EOS">
    <w:name w:val="EOS"/>
    <w:basedOn w:val="Normal"/>
    <w:rsid w:val="00FB3365"/>
    <w:pPr>
      <w:spacing w:before="480"/>
    </w:pPr>
    <w:rPr>
      <w:b/>
      <w:caps/>
    </w:rPr>
  </w:style>
  <w:style w:type="paragraph" w:styleId="Footer">
    <w:name w:val="footer"/>
    <w:basedOn w:val="Normal"/>
    <w:rsid w:val="00FB3365"/>
    <w:pPr>
      <w:jc w:val="center"/>
    </w:pPr>
    <w:rPr>
      <w:b/>
    </w:rPr>
  </w:style>
  <w:style w:type="character" w:styleId="LineNumber">
    <w:name w:val="line number"/>
    <w:basedOn w:val="DefaultParagraphFont"/>
    <w:rsid w:val="00FB3365"/>
  </w:style>
  <w:style w:type="paragraph" w:customStyle="1" w:styleId="PR1">
    <w:name w:val="PR1"/>
    <w:basedOn w:val="Normal"/>
    <w:link w:val="PR1Char"/>
    <w:rsid w:val="00FB3365"/>
    <w:pPr>
      <w:keepLines/>
      <w:numPr>
        <w:ilvl w:val="4"/>
        <w:numId w:val="1"/>
      </w:numPr>
      <w:spacing w:before="120" w:after="120"/>
      <w:outlineLvl w:val="4"/>
    </w:pPr>
  </w:style>
  <w:style w:type="paragraph" w:customStyle="1" w:styleId="PR2">
    <w:name w:val="PR2"/>
    <w:basedOn w:val="Normal"/>
    <w:link w:val="PR2Char"/>
    <w:rsid w:val="00FB3365"/>
    <w:pPr>
      <w:keepLines/>
      <w:numPr>
        <w:ilvl w:val="5"/>
        <w:numId w:val="1"/>
      </w:numPr>
      <w:outlineLvl w:val="5"/>
    </w:pPr>
  </w:style>
  <w:style w:type="paragraph" w:customStyle="1" w:styleId="PR3">
    <w:name w:val="PR3"/>
    <w:basedOn w:val="Normal"/>
    <w:rsid w:val="00FB3365"/>
    <w:pPr>
      <w:keepLines/>
      <w:numPr>
        <w:ilvl w:val="6"/>
        <w:numId w:val="1"/>
      </w:numPr>
      <w:outlineLvl w:val="6"/>
    </w:pPr>
  </w:style>
  <w:style w:type="paragraph" w:customStyle="1" w:styleId="PR4">
    <w:name w:val="PR4"/>
    <w:basedOn w:val="Normal"/>
    <w:rsid w:val="00FB3365"/>
    <w:pPr>
      <w:keepLines/>
      <w:numPr>
        <w:ilvl w:val="7"/>
        <w:numId w:val="1"/>
      </w:numPr>
      <w:outlineLvl w:val="7"/>
    </w:pPr>
  </w:style>
  <w:style w:type="paragraph" w:customStyle="1" w:styleId="PR5">
    <w:name w:val="PR5"/>
    <w:basedOn w:val="Normal"/>
    <w:rsid w:val="00FB3365"/>
    <w:pPr>
      <w:keepLines/>
      <w:numPr>
        <w:ilvl w:val="8"/>
        <w:numId w:val="1"/>
      </w:numPr>
      <w:outlineLvl w:val="8"/>
    </w:pPr>
  </w:style>
  <w:style w:type="paragraph" w:customStyle="1" w:styleId="PRT">
    <w:name w:val="PRT"/>
    <w:basedOn w:val="Normal"/>
    <w:next w:val="Normal"/>
    <w:rsid w:val="00FB3365"/>
    <w:pPr>
      <w:keepNext/>
      <w:numPr>
        <w:ilvl w:val="2"/>
        <w:numId w:val="1"/>
      </w:numPr>
      <w:spacing w:before="480"/>
    </w:pPr>
    <w:rPr>
      <w:b/>
      <w:caps/>
    </w:rPr>
  </w:style>
  <w:style w:type="paragraph" w:customStyle="1" w:styleId="SCT">
    <w:name w:val="SCT"/>
    <w:basedOn w:val="Normal"/>
    <w:next w:val="PRT"/>
    <w:autoRedefine/>
    <w:rsid w:val="00FB3365"/>
    <w:pPr>
      <w:keepNext/>
      <w:numPr>
        <w:ilvl w:val="1"/>
        <w:numId w:val="1"/>
      </w:numPr>
      <w:outlineLvl w:val="1"/>
    </w:pPr>
    <w:rPr>
      <w:b/>
      <w:caps/>
    </w:rPr>
  </w:style>
  <w:style w:type="paragraph" w:customStyle="1" w:styleId="TB1">
    <w:name w:val="TB1"/>
    <w:basedOn w:val="Normal"/>
    <w:rsid w:val="00FB3365"/>
    <w:pPr>
      <w:tabs>
        <w:tab w:val="left" w:pos="1008"/>
      </w:tabs>
      <w:ind w:left="432"/>
    </w:pPr>
  </w:style>
  <w:style w:type="paragraph" w:customStyle="1" w:styleId="TB2">
    <w:name w:val="TB2"/>
    <w:basedOn w:val="Normal"/>
    <w:rsid w:val="00FB3365"/>
    <w:pPr>
      <w:tabs>
        <w:tab w:val="left" w:pos="2880"/>
        <w:tab w:val="left" w:pos="4320"/>
        <w:tab w:val="left" w:pos="5760"/>
        <w:tab w:val="left" w:pos="7200"/>
        <w:tab w:val="left" w:pos="8640"/>
      </w:tabs>
      <w:ind w:left="1008"/>
    </w:pPr>
  </w:style>
  <w:style w:type="paragraph" w:customStyle="1" w:styleId="TB3">
    <w:name w:val="TB3"/>
    <w:basedOn w:val="Normal"/>
    <w:rsid w:val="00FB3365"/>
    <w:pPr>
      <w:tabs>
        <w:tab w:val="left" w:pos="2160"/>
      </w:tabs>
      <w:ind w:left="1584"/>
    </w:pPr>
  </w:style>
  <w:style w:type="paragraph" w:customStyle="1" w:styleId="TB4">
    <w:name w:val="TB4"/>
    <w:basedOn w:val="Normal"/>
    <w:rsid w:val="00FB3365"/>
    <w:pPr>
      <w:tabs>
        <w:tab w:val="left" w:pos="2736"/>
      </w:tabs>
      <w:ind w:left="2160"/>
    </w:pPr>
  </w:style>
  <w:style w:type="paragraph" w:customStyle="1" w:styleId="TB5">
    <w:name w:val="TB5"/>
    <w:basedOn w:val="Normal"/>
    <w:rsid w:val="00FB3365"/>
    <w:pPr>
      <w:tabs>
        <w:tab w:val="left" w:pos="3312"/>
      </w:tabs>
      <w:ind w:left="2736"/>
    </w:pPr>
  </w:style>
  <w:style w:type="paragraph" w:customStyle="1" w:styleId="TCB">
    <w:name w:val="TCB"/>
    <w:basedOn w:val="Normal"/>
    <w:rsid w:val="00FB3365"/>
    <w:pPr>
      <w:jc w:val="left"/>
    </w:pPr>
    <w:rPr>
      <w:b/>
    </w:rPr>
  </w:style>
  <w:style w:type="paragraph" w:customStyle="1" w:styleId="TCH">
    <w:name w:val="TCH"/>
    <w:basedOn w:val="Normal"/>
    <w:rsid w:val="00FB3365"/>
    <w:pPr>
      <w:spacing w:before="120"/>
      <w:jc w:val="left"/>
    </w:pPr>
    <w:rPr>
      <w:caps/>
      <w:u w:val="single"/>
    </w:rPr>
  </w:style>
  <w:style w:type="paragraph" w:styleId="TOC1">
    <w:name w:val="toc 1"/>
    <w:basedOn w:val="Normal"/>
    <w:next w:val="TOC2"/>
    <w:autoRedefine/>
    <w:rsid w:val="00FB3365"/>
    <w:pPr>
      <w:tabs>
        <w:tab w:val="left" w:pos="2880"/>
      </w:tabs>
      <w:spacing w:before="120"/>
      <w:jc w:val="left"/>
    </w:pPr>
    <w:rPr>
      <w:b/>
      <w:caps/>
    </w:rPr>
  </w:style>
  <w:style w:type="paragraph" w:styleId="TOC2">
    <w:name w:val="toc 2"/>
    <w:basedOn w:val="Normal"/>
    <w:rsid w:val="00FB3365"/>
    <w:pPr>
      <w:tabs>
        <w:tab w:val="left" w:pos="2880"/>
      </w:tabs>
      <w:ind w:left="1210" w:hanging="1008"/>
      <w:jc w:val="left"/>
    </w:pPr>
  </w:style>
  <w:style w:type="paragraph" w:customStyle="1" w:styleId="tocdiv">
    <w:name w:val="toc div"/>
    <w:basedOn w:val="TOC1"/>
    <w:rsid w:val="00FB3365"/>
    <w:pPr>
      <w:tabs>
        <w:tab w:val="right" w:leader="dot" w:pos="9360"/>
      </w:tabs>
    </w:pPr>
    <w:rPr>
      <w:caps w:val="0"/>
      <w:u w:val="single"/>
    </w:rPr>
  </w:style>
  <w:style w:type="paragraph" w:customStyle="1" w:styleId="tocdoc">
    <w:name w:val="toc doc"/>
    <w:basedOn w:val="Normal"/>
    <w:rsid w:val="00FB3365"/>
    <w:pPr>
      <w:tabs>
        <w:tab w:val="left" w:pos="2880"/>
      </w:tabs>
    </w:pPr>
  </w:style>
  <w:style w:type="paragraph" w:customStyle="1" w:styleId="z7L">
    <w:name w:val="z7L"/>
    <w:basedOn w:val="Normal"/>
    <w:rsid w:val="00FB3365"/>
    <w:pPr>
      <w:tabs>
        <w:tab w:val="right" w:pos="1980"/>
      </w:tabs>
      <w:jc w:val="left"/>
    </w:pPr>
    <w:rPr>
      <w:rFonts w:ascii="Arial" w:hAnsi="Arial"/>
      <w:b/>
      <w:w w:val="90"/>
      <w:sz w:val="14"/>
    </w:rPr>
  </w:style>
  <w:style w:type="paragraph" w:customStyle="1" w:styleId="z9">
    <w:name w:val="z9"/>
    <w:basedOn w:val="z7L"/>
    <w:rsid w:val="00FB3365"/>
    <w:pPr>
      <w:spacing w:before="40" w:line="240" w:lineRule="exact"/>
    </w:pPr>
    <w:rPr>
      <w:w w:val="100"/>
      <w:sz w:val="18"/>
    </w:rPr>
  </w:style>
  <w:style w:type="paragraph" w:customStyle="1" w:styleId="z11">
    <w:name w:val="z11"/>
    <w:basedOn w:val="z9"/>
    <w:rsid w:val="00FB3365"/>
    <w:rPr>
      <w:sz w:val="20"/>
    </w:rPr>
  </w:style>
  <w:style w:type="paragraph" w:customStyle="1" w:styleId="z13">
    <w:name w:val="z13"/>
    <w:basedOn w:val="z9"/>
    <w:rsid w:val="00FB3365"/>
    <w:pPr>
      <w:spacing w:line="280" w:lineRule="exact"/>
      <w:ind w:right="20"/>
    </w:pPr>
    <w:rPr>
      <w:sz w:val="24"/>
      <w:szCs w:val="24"/>
    </w:rPr>
  </w:style>
  <w:style w:type="paragraph" w:customStyle="1" w:styleId="z4">
    <w:name w:val="z4"/>
    <w:basedOn w:val="Normal"/>
    <w:rsid w:val="00FB3365"/>
    <w:pPr>
      <w:tabs>
        <w:tab w:val="right" w:pos="462"/>
        <w:tab w:val="right" w:pos="840"/>
        <w:tab w:val="right" w:pos="2016"/>
      </w:tabs>
    </w:pPr>
    <w:rPr>
      <w:b/>
      <w:w w:val="90"/>
      <w:sz w:val="8"/>
    </w:rPr>
  </w:style>
  <w:style w:type="paragraph" w:customStyle="1" w:styleId="z6L">
    <w:name w:val="z6L"/>
    <w:basedOn w:val="Normal"/>
    <w:link w:val="z6LChar"/>
    <w:autoRedefine/>
    <w:rsid w:val="00FB336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FB3365"/>
    <w:pPr>
      <w:tabs>
        <w:tab w:val="left" w:pos="1008"/>
        <w:tab w:val="left" w:pos="1584"/>
      </w:tabs>
      <w:jc w:val="right"/>
    </w:pPr>
    <w:rPr>
      <w:rFonts w:ascii="Arial" w:hAnsi="Arial"/>
      <w:bCs/>
      <w:w w:val="90"/>
      <w:sz w:val="12"/>
    </w:rPr>
  </w:style>
  <w:style w:type="paragraph" w:customStyle="1" w:styleId="z7R">
    <w:name w:val="z7R"/>
    <w:basedOn w:val="z7L"/>
    <w:rsid w:val="00FB3365"/>
    <w:pPr>
      <w:jc w:val="right"/>
    </w:pPr>
  </w:style>
  <w:style w:type="paragraph" w:customStyle="1" w:styleId="HDR">
    <w:name w:val="HDR"/>
    <w:basedOn w:val="Normal"/>
    <w:rsid w:val="000A56FB"/>
    <w:pPr>
      <w:tabs>
        <w:tab w:val="center" w:pos="4608"/>
        <w:tab w:val="right" w:pos="9360"/>
      </w:tabs>
      <w:suppressAutoHyphens/>
    </w:pPr>
    <w:rPr>
      <w:rFonts w:ascii="Times New Roman" w:hAnsi="Times New Roman"/>
      <w:sz w:val="22"/>
    </w:rPr>
  </w:style>
  <w:style w:type="paragraph" w:styleId="Header">
    <w:name w:val="header"/>
    <w:basedOn w:val="Normal"/>
    <w:link w:val="HeaderChar"/>
    <w:rsid w:val="000A56FB"/>
    <w:pPr>
      <w:tabs>
        <w:tab w:val="center" w:pos="4680"/>
        <w:tab w:val="right" w:pos="9360"/>
      </w:tabs>
    </w:pPr>
  </w:style>
  <w:style w:type="character" w:customStyle="1" w:styleId="HeaderChar">
    <w:name w:val="Header Char"/>
    <w:basedOn w:val="DefaultParagraphFont"/>
    <w:link w:val="Header"/>
    <w:rsid w:val="000A56FB"/>
    <w:rPr>
      <w:rFonts w:ascii="Courier New" w:hAnsi="Courier New"/>
    </w:rPr>
  </w:style>
  <w:style w:type="character" w:customStyle="1" w:styleId="Heading7Char">
    <w:name w:val="Heading 7 Char"/>
    <w:basedOn w:val="DefaultParagraphFont"/>
    <w:link w:val="Heading7"/>
    <w:rsid w:val="000A56FB"/>
    <w:rPr>
      <w:rFonts w:cs="Courier New"/>
    </w:rPr>
  </w:style>
  <w:style w:type="paragraph" w:styleId="BodyText">
    <w:name w:val="Body Text"/>
    <w:basedOn w:val="Normal"/>
    <w:link w:val="BodyTextChar"/>
    <w:rsid w:val="000A56FB"/>
    <w:pPr>
      <w:jc w:val="center"/>
    </w:pPr>
    <w:rPr>
      <w:rFonts w:ascii="Arial" w:hAnsi="Arial" w:cs="Arial"/>
      <w:szCs w:val="24"/>
    </w:rPr>
  </w:style>
  <w:style w:type="character" w:customStyle="1" w:styleId="BodyTextChar">
    <w:name w:val="Body Text Char"/>
    <w:basedOn w:val="DefaultParagraphFont"/>
    <w:link w:val="BodyText"/>
    <w:rsid w:val="000A56FB"/>
    <w:rPr>
      <w:rFonts w:ascii="Arial" w:hAnsi="Arial" w:cs="Arial"/>
      <w:szCs w:val="24"/>
    </w:rPr>
  </w:style>
  <w:style w:type="paragraph" w:styleId="NormalIndent">
    <w:name w:val="Normal Indent"/>
    <w:basedOn w:val="Normal"/>
    <w:rsid w:val="000A56FB"/>
    <w:pPr>
      <w:ind w:left="720"/>
    </w:pPr>
  </w:style>
  <w:style w:type="paragraph" w:styleId="BalloonText">
    <w:name w:val="Balloon Text"/>
    <w:basedOn w:val="Normal"/>
    <w:link w:val="BalloonTextChar"/>
    <w:rsid w:val="009450F6"/>
    <w:rPr>
      <w:rFonts w:ascii="Tahoma" w:hAnsi="Tahoma" w:cs="Tahoma"/>
      <w:sz w:val="16"/>
      <w:szCs w:val="16"/>
    </w:rPr>
  </w:style>
  <w:style w:type="character" w:customStyle="1" w:styleId="BalloonTextChar">
    <w:name w:val="Balloon Text Char"/>
    <w:basedOn w:val="DefaultParagraphFont"/>
    <w:link w:val="BalloonText"/>
    <w:rsid w:val="009450F6"/>
    <w:rPr>
      <w:rFonts w:ascii="Tahoma" w:hAnsi="Tahoma" w:cs="Tahoma"/>
      <w:sz w:val="16"/>
      <w:szCs w:val="16"/>
    </w:rPr>
  </w:style>
  <w:style w:type="paragraph" w:customStyle="1" w:styleId="z24">
    <w:name w:val="z24"/>
    <w:basedOn w:val="z7L"/>
    <w:rsid w:val="004915D0"/>
    <w:rPr>
      <w:sz w:val="48"/>
    </w:rPr>
  </w:style>
  <w:style w:type="character" w:customStyle="1" w:styleId="z6LChar">
    <w:name w:val="z6L Char"/>
    <w:basedOn w:val="DefaultParagraphFont"/>
    <w:link w:val="z6L"/>
    <w:rsid w:val="004915D0"/>
    <w:rPr>
      <w:rFonts w:ascii="Arial" w:hAnsi="Arial" w:cs="Courier New"/>
      <w:b/>
      <w:bCs/>
      <w:w w:val="90"/>
      <w:sz w:val="12"/>
      <w:szCs w:val="12"/>
    </w:rPr>
  </w:style>
  <w:style w:type="character" w:customStyle="1" w:styleId="PR1Char">
    <w:name w:val="PR1 Char"/>
    <w:basedOn w:val="DefaultParagraphFont"/>
    <w:link w:val="PR1"/>
    <w:locked/>
    <w:rsid w:val="005E47B5"/>
    <w:rPr>
      <w:rFonts w:ascii="Courier New" w:hAnsi="Courier New"/>
    </w:rPr>
  </w:style>
  <w:style w:type="character" w:customStyle="1" w:styleId="ARTChar">
    <w:name w:val="ART Char"/>
    <w:link w:val="ART"/>
    <w:locked/>
    <w:rsid w:val="002E320F"/>
    <w:rPr>
      <w:rFonts w:ascii="Courier New" w:hAnsi="Courier New"/>
      <w:b/>
      <w:caps/>
    </w:rPr>
  </w:style>
  <w:style w:type="character" w:customStyle="1" w:styleId="PR2Char">
    <w:name w:val="PR2 Char"/>
    <w:link w:val="PR2"/>
    <w:locked/>
    <w:rsid w:val="002E320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669">
      <w:bodyDiv w:val="1"/>
      <w:marLeft w:val="0"/>
      <w:marRight w:val="0"/>
      <w:marTop w:val="0"/>
      <w:marBottom w:val="0"/>
      <w:divBdr>
        <w:top w:val="none" w:sz="0" w:space="0" w:color="auto"/>
        <w:left w:val="none" w:sz="0" w:space="0" w:color="auto"/>
        <w:bottom w:val="none" w:sz="0" w:space="0" w:color="auto"/>
        <w:right w:val="none" w:sz="0" w:space="0" w:color="auto"/>
      </w:divBdr>
    </w:div>
    <w:div w:id="904343612">
      <w:bodyDiv w:val="1"/>
      <w:marLeft w:val="0"/>
      <w:marRight w:val="0"/>
      <w:marTop w:val="0"/>
      <w:marBottom w:val="0"/>
      <w:divBdr>
        <w:top w:val="none" w:sz="0" w:space="0" w:color="auto"/>
        <w:left w:val="none" w:sz="0" w:space="0" w:color="auto"/>
        <w:bottom w:val="none" w:sz="0" w:space="0" w:color="auto"/>
        <w:right w:val="none" w:sz="0" w:space="0" w:color="auto"/>
      </w:divBdr>
    </w:div>
    <w:div w:id="1091199725">
      <w:bodyDiv w:val="1"/>
      <w:marLeft w:val="0"/>
      <w:marRight w:val="0"/>
      <w:marTop w:val="0"/>
      <w:marBottom w:val="0"/>
      <w:divBdr>
        <w:top w:val="none" w:sz="0" w:space="0" w:color="auto"/>
        <w:left w:val="none" w:sz="0" w:space="0" w:color="auto"/>
        <w:bottom w:val="none" w:sz="0" w:space="0" w:color="auto"/>
        <w:right w:val="none" w:sz="0" w:space="0" w:color="auto"/>
      </w:divBdr>
    </w:div>
    <w:div w:id="1345671482">
      <w:bodyDiv w:val="1"/>
      <w:marLeft w:val="0"/>
      <w:marRight w:val="0"/>
      <w:marTop w:val="0"/>
      <w:marBottom w:val="0"/>
      <w:divBdr>
        <w:top w:val="none" w:sz="0" w:space="0" w:color="auto"/>
        <w:left w:val="none" w:sz="0" w:space="0" w:color="auto"/>
        <w:bottom w:val="none" w:sz="0" w:space="0" w:color="auto"/>
        <w:right w:val="none" w:sz="0" w:space="0" w:color="auto"/>
      </w:divBdr>
    </w:div>
    <w:div w:id="14324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5D04-ECFA-4C9B-A784-6AA7FA4D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121</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jimkosin</dc:creator>
  <cp:lastModifiedBy>Walenciak, Jeff</cp:lastModifiedBy>
  <cp:revision>33</cp:revision>
  <cp:lastPrinted>2012-05-16T13:53:00Z</cp:lastPrinted>
  <dcterms:created xsi:type="dcterms:W3CDTF">2012-05-15T14:58:00Z</dcterms:created>
  <dcterms:modified xsi:type="dcterms:W3CDTF">2019-01-28T20:11:00Z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