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3D" w:rsidRDefault="00294BBD" w:rsidP="00931C3D">
      <w:pPr>
        <w:pStyle w:val="TCB"/>
      </w:pPr>
      <w:bookmarkStart w:id="0" w:name="_Toc321621959"/>
      <w:bookmarkStart w:id="1" w:name="_Toc323357197"/>
      <w:bookmarkStart w:id="2" w:name="_Toc331405571"/>
      <w:bookmarkStart w:id="3" w:name="_Toc346099274"/>
      <w:bookmarkStart w:id="4" w:name="_Toc366050372"/>
      <w:bookmarkStart w:id="5" w:name="_Toc7580248"/>
      <w:bookmarkStart w:id="6" w:name="_Toc25640254"/>
      <w:bookmarkStart w:id="7" w:name="_Toc96852417"/>
      <w:bookmarkStart w:id="8" w:name="_Toc112656144"/>
      <w:bookmarkStart w:id="9" w:name="_Toc112656174"/>
      <w:bookmarkStart w:id="10" w:name="_Toc112656295"/>
      <w:bookmarkStart w:id="11" w:name="_Toc169490396"/>
      <w:bookmarkStart w:id="12" w:name="_Toc338833403"/>
      <w:bookmarkStart w:id="13" w:name="_GoBack"/>
      <w:bookmarkEnd w:id="13"/>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931C3D" w:rsidRPr="003C69D0" w:rsidRDefault="00931C3D">
                      <w:pPr>
                        <w:pStyle w:val="BodyText"/>
                        <w:rPr>
                          <w:b/>
                          <w:bCs/>
                          <w:smallCaps/>
                          <w:spacing w:val="-2"/>
                          <w:kern w:val="16"/>
                          <w:sz w:val="17"/>
                          <w:szCs w:val="17"/>
                        </w:rPr>
                      </w:pPr>
                      <w:r w:rsidRPr="003C69D0">
                        <w:rPr>
                          <w:b/>
                          <w:bCs/>
                          <w:smallCaps/>
                          <w:spacing w:val="-2"/>
                          <w:kern w:val="16"/>
                          <w:sz w:val="17"/>
                          <w:szCs w:val="17"/>
                        </w:rPr>
                        <w:t>_______________________________________</w:t>
                      </w:r>
                    </w:p>
                    <w:p w:rsidR="00931C3D" w:rsidRPr="006E3B8C" w:rsidRDefault="00931C3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931C3D" w:rsidRPr="00AE3F23" w:rsidRDefault="00931C3D">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931C3D" w:rsidRPr="00AE3F23" w:rsidRDefault="00931C3D">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931C3D" w:rsidRPr="00AE3F23" w:rsidRDefault="00931C3D">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931C3D" w:rsidRPr="00AE3F23" w:rsidRDefault="00931C3D">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931C3D" w:rsidRPr="00AE3F23" w:rsidRDefault="00931C3D">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931C3D" w:rsidRDefault="00294BBD" w:rsidP="00931C3D">
      <w:pPr>
        <w:pStyle w:val="TCB"/>
        <w:rPr>
          <w:noProof/>
        </w:rPr>
      </w:pPr>
      <w:r>
        <w:fldChar w:fldCharType="begin"/>
      </w:r>
      <w:r>
        <w:instrText xml:space="preserve"> DOCPROPERTY "Facility"  \* MERGEFORMAT </w:instrText>
      </w:r>
      <w:r>
        <w:fldChar w:fldCharType="separate"/>
      </w:r>
      <w:r w:rsidR="00931C3D">
        <w:rPr>
          <w:noProof/>
        </w:rPr>
        <w:t>BuildingName</w:t>
      </w:r>
      <w:r>
        <w:rPr>
          <w:noProof/>
        </w:rPr>
        <w:fldChar w:fldCharType="end"/>
      </w:r>
      <w:r w:rsidR="00931C3D" w:rsidRPr="00CD5DC8">
        <w:rPr>
          <w:noProof/>
        </w:rPr>
        <w:br/>
      </w:r>
      <w:r>
        <w:fldChar w:fldCharType="begin"/>
      </w:r>
      <w:r>
        <w:instrText xml:space="preserve"> DOCPROPERTY "Project"  \* MERGEFORMAT </w:instrText>
      </w:r>
      <w:r>
        <w:fldChar w:fldCharType="separate"/>
      </w:r>
      <w:r w:rsidR="00931C3D">
        <w:rPr>
          <w:noProof/>
        </w:rPr>
        <w:t>The Description of the Project</w:t>
      </w:r>
      <w:r>
        <w:rPr>
          <w:noProof/>
        </w:rPr>
        <w:fldChar w:fldCharType="end"/>
      </w:r>
      <w:r w:rsidR="00931C3D" w:rsidRPr="00CD5DC8">
        <w:rPr>
          <w:noProof/>
        </w:rPr>
        <w:br/>
      </w:r>
      <w:r>
        <w:fldChar w:fldCharType="begin"/>
      </w:r>
      <w:r>
        <w:instrText xml:space="preserve"> DOCPROPERTY "ProjNo"  \* MERGEFORMAT </w:instrText>
      </w:r>
      <w:r>
        <w:fldChar w:fldCharType="separate"/>
      </w:r>
      <w:r w:rsidR="00931C3D">
        <w:rPr>
          <w:noProof/>
        </w:rPr>
        <w:t>P00000000</w:t>
      </w:r>
      <w:r>
        <w:rPr>
          <w:noProof/>
        </w:rPr>
        <w:fldChar w:fldCharType="end"/>
      </w:r>
      <w:r w:rsidR="00931C3D" w:rsidRPr="00CD5DC8">
        <w:rPr>
          <w:noProof/>
        </w:rPr>
        <w:t xml:space="preserve">  </w:t>
      </w:r>
      <w:r>
        <w:fldChar w:fldCharType="begin"/>
      </w:r>
      <w:r>
        <w:instrText xml:space="preserve"> DOCPROPERTY "BldgNo"  \* MERGEFORMAT </w:instrText>
      </w:r>
      <w:r>
        <w:fldChar w:fldCharType="separate"/>
      </w:r>
      <w:r w:rsidR="00931C3D">
        <w:rPr>
          <w:noProof/>
        </w:rPr>
        <w:t>0000</w:t>
      </w:r>
      <w:r>
        <w:rPr>
          <w:noProof/>
        </w:rPr>
        <w:fldChar w:fldCharType="end"/>
      </w:r>
    </w:p>
    <w:p w:rsidR="00931C3D" w:rsidRPr="0010430E" w:rsidRDefault="00931C3D" w:rsidP="00931C3D">
      <w:pPr>
        <w:pStyle w:val="tocdiv"/>
        <w:rPr>
          <w:color w:val="FFFFFF" w:themeColor="background1"/>
        </w:rPr>
      </w:pPr>
      <w:r w:rsidRPr="0010430E">
        <w:rPr>
          <w:color w:val="FFFFFF" w:themeColor="background1"/>
        </w:rPr>
        <w:t>DOCUMENTS</w:t>
      </w:r>
    </w:p>
    <w:p w:rsidR="00931C3D" w:rsidRPr="0010430E" w:rsidRDefault="00931C3D" w:rsidP="00931C3D">
      <w:pPr>
        <w:pStyle w:val="TCB"/>
        <w:rPr>
          <w:color w:val="FFFFFF" w:themeColor="background1"/>
        </w:rPr>
      </w:pPr>
    </w:p>
    <w:p w:rsidR="00931C3D" w:rsidRDefault="00931C3D" w:rsidP="00931C3D">
      <w:pPr>
        <w:pStyle w:val="TCB"/>
      </w:pPr>
    </w:p>
    <w:p w:rsidR="00931C3D" w:rsidRDefault="00931C3D" w:rsidP="00931C3D">
      <w:pPr>
        <w:pStyle w:val="TCB"/>
      </w:pPr>
      <w:r>
        <w:t xml:space="preserve">SPECIFICATION </w:t>
      </w:r>
      <w:proofErr w:type="gramStart"/>
      <w:r>
        <w:t>DIVISION  6</w:t>
      </w:r>
      <w:proofErr w:type="gramEnd"/>
    </w:p>
    <w:p w:rsidR="00931C3D" w:rsidRDefault="00931C3D" w:rsidP="00931C3D">
      <w:pPr>
        <w:pStyle w:val="TCH"/>
      </w:pPr>
      <w:r>
        <w:t>NUMBER      SECTION DESCRIPTION</w:t>
      </w:r>
    </w:p>
    <w:p w:rsidR="00931C3D" w:rsidRDefault="00931C3D" w:rsidP="00931C3D">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06 WOOD, PLASTICS AND COMPOSITES</w:t>
      </w:r>
    </w:p>
    <w:p w:rsidR="00931C3D" w:rsidRDefault="00931C3D" w:rsidP="00931C3D">
      <w:pPr>
        <w:pStyle w:val="TOC2"/>
        <w:rPr>
          <w:rFonts w:asciiTheme="minorHAnsi" w:eastAsiaTheme="minorEastAsia" w:hAnsiTheme="minorHAnsi" w:cstheme="minorBidi"/>
          <w:noProof/>
          <w:sz w:val="22"/>
          <w:szCs w:val="22"/>
        </w:rPr>
      </w:pPr>
      <w:r w:rsidRPr="00C61654">
        <w:rPr>
          <w:noProof/>
        </w:rPr>
        <w:t>SECTION 061000 - ROUGH CARPENTRY</w:t>
      </w:r>
    </w:p>
    <w:p w:rsidR="00931C3D" w:rsidRDefault="00931C3D" w:rsidP="00931C3D">
      <w:pPr>
        <w:pStyle w:val="EOS"/>
      </w:pPr>
      <w:r>
        <w:fldChar w:fldCharType="end"/>
      </w:r>
      <w:r>
        <w:t>END OF CONTENTS TABLE</w:t>
      </w:r>
    </w:p>
    <w:p w:rsidR="00931C3D" w:rsidRDefault="00931C3D" w:rsidP="00931C3D">
      <w:pPr>
        <w:sectPr w:rsidR="00931C3D" w:rsidSect="00931C3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475" w:gutter="720"/>
          <w:pgNumType w:start="1"/>
          <w:cols w:space="144"/>
          <w:docGrid w:linePitch="272"/>
        </w:sectPr>
      </w:pPr>
    </w:p>
    <w:p w:rsidR="00931C3D" w:rsidRPr="00931C3D" w:rsidRDefault="00931C3D" w:rsidP="00931C3D">
      <w:pPr>
        <w:pStyle w:val="DET"/>
      </w:pPr>
      <w:bookmarkStart w:id="14" w:name="_Toc342313864"/>
      <w:r>
        <w:lastRenderedPageBreak/>
        <w:t>DIVISION 06 WOOD, PLASTICS AND COMPOSITES</w:t>
      </w:r>
      <w:bookmarkEnd w:id="14"/>
    </w:p>
    <w:p w:rsidR="00B24D87" w:rsidRDefault="00931C3D" w:rsidP="00931C3D">
      <w:pPr>
        <w:pStyle w:val="SCT"/>
      </w:pPr>
      <w:bookmarkStart w:id="15" w:name="_Toc342313865"/>
      <w:r>
        <w:rPr>
          <w:caps w:val="0"/>
        </w:rPr>
        <w:t>SECTION 061000 - ROUGH CARPENTRY</w:t>
      </w:r>
      <w:bookmarkEnd w:id="0"/>
      <w:bookmarkEnd w:id="1"/>
      <w:bookmarkEnd w:id="2"/>
      <w:bookmarkEnd w:id="3"/>
      <w:bookmarkEnd w:id="4"/>
      <w:bookmarkEnd w:id="5"/>
      <w:bookmarkEnd w:id="6"/>
      <w:bookmarkEnd w:id="7"/>
      <w:bookmarkEnd w:id="8"/>
      <w:bookmarkEnd w:id="9"/>
      <w:bookmarkEnd w:id="10"/>
      <w:bookmarkEnd w:id="11"/>
      <w:bookmarkEnd w:id="12"/>
      <w:bookmarkEnd w:id="15"/>
    </w:p>
    <w:p w:rsidR="000403ED" w:rsidRDefault="000403ED" w:rsidP="00931C3D">
      <w:pPr>
        <w:pStyle w:val="CMT"/>
      </w:pPr>
      <w:r>
        <w:t>jan, 2005 - updated to remove arsenic- and chromium-containing wood preservatives and to add corrosion-resistant fasteners.</w:t>
      </w:r>
    </w:p>
    <w:p w:rsidR="00B24D87" w:rsidRDefault="00B24D87" w:rsidP="00931C3D">
      <w:pPr>
        <w:pStyle w:val="PRT"/>
      </w:pPr>
      <w:r>
        <w:t>GENERAL</w:t>
      </w:r>
    </w:p>
    <w:p w:rsidR="00B24D87" w:rsidRDefault="00B24D87" w:rsidP="00931C3D">
      <w:pPr>
        <w:pStyle w:val="ART"/>
      </w:pPr>
      <w:r>
        <w:t>SUMMARY</w:t>
      </w:r>
    </w:p>
    <w:p w:rsidR="00B24D87" w:rsidRDefault="00B24D87" w:rsidP="00931C3D">
      <w:pPr>
        <w:pStyle w:val="CMT"/>
      </w:pPr>
      <w:r>
        <w:t xml:space="preserve">note that rough carpentry required for installation of architectural casework is usually included in section </w:t>
      </w:r>
      <w:r w:rsidR="00D66982">
        <w:t>064023</w:t>
      </w:r>
      <w:r>
        <w:t xml:space="preserve"> </w:t>
      </w:r>
      <w:r w:rsidR="00D66982">
        <w:t>–</w:t>
      </w:r>
      <w:r>
        <w:t xml:space="preserve"> </w:t>
      </w:r>
      <w:r w:rsidR="00D66982">
        <w:t xml:space="preserve">“INTERIOR </w:t>
      </w:r>
      <w:r>
        <w:t>architectural woodwork.</w:t>
      </w:r>
      <w:r w:rsidR="00D66982">
        <w:t>”</w:t>
      </w:r>
    </w:p>
    <w:p w:rsidR="00B24D87" w:rsidRDefault="00B24D87" w:rsidP="00931C3D">
      <w:pPr>
        <w:pStyle w:val="CMT"/>
      </w:pPr>
      <w:r>
        <w:t>EDIT BELOW TO SUIT PROJECT</w:t>
      </w:r>
    </w:p>
    <w:p w:rsidR="00B24D87" w:rsidRDefault="00B24D87" w:rsidP="00931C3D">
      <w:pPr>
        <w:pStyle w:val="PR1"/>
      </w:pPr>
      <w:r>
        <w:t>Types of work in this section include the following:</w:t>
      </w:r>
    </w:p>
    <w:p w:rsidR="00B24D87" w:rsidRDefault="00B24D87" w:rsidP="00931C3D">
      <w:pPr>
        <w:pStyle w:val="PR2"/>
      </w:pPr>
      <w:r>
        <w:t>Wood framing.</w:t>
      </w:r>
    </w:p>
    <w:p w:rsidR="00B24D87" w:rsidRDefault="00B24D87" w:rsidP="00931C3D">
      <w:pPr>
        <w:pStyle w:val="PR2"/>
      </w:pPr>
      <w:r>
        <w:t>Wood blocking.</w:t>
      </w:r>
    </w:p>
    <w:p w:rsidR="00B24D87" w:rsidRDefault="00B24D87" w:rsidP="00931C3D">
      <w:pPr>
        <w:pStyle w:val="PR2"/>
      </w:pPr>
      <w:r>
        <w:t>Telephone backboard panel.</w:t>
      </w:r>
    </w:p>
    <w:p w:rsidR="00B24D87" w:rsidRDefault="00B24D87" w:rsidP="00931C3D">
      <w:pPr>
        <w:pStyle w:val="PR2"/>
      </w:pPr>
      <w:r>
        <w:t>Plywood reinforcement panels within gypsum drywall walls.</w:t>
      </w:r>
    </w:p>
    <w:p w:rsidR="00B24D87" w:rsidRDefault="00B24D87" w:rsidP="00931C3D">
      <w:pPr>
        <w:pStyle w:val="PR1"/>
      </w:pPr>
      <w:r>
        <w:t xml:space="preserve">"Interior Architectural Woodwork" is specified in another Division </w:t>
      </w:r>
      <w:r w:rsidR="00173C69">
        <w:t>0</w:t>
      </w:r>
      <w:r>
        <w:t>6 Section.</w:t>
      </w:r>
    </w:p>
    <w:p w:rsidR="00B24D87" w:rsidRDefault="00B24D87" w:rsidP="00931C3D">
      <w:pPr>
        <w:pStyle w:val="CMT"/>
      </w:pPr>
      <w:r>
        <w:t>delete above if no finish carpentry.  delete below if this section does not include reinforcing of drywall partitions</w:t>
      </w:r>
    </w:p>
    <w:p w:rsidR="00B24D87" w:rsidRDefault="00B24D87" w:rsidP="00931C3D">
      <w:pPr>
        <w:pStyle w:val="PR1"/>
      </w:pPr>
      <w:r>
        <w:t xml:space="preserve">Drywall partitions are specified in Division </w:t>
      </w:r>
      <w:r w:rsidR="00173C69">
        <w:t>0</w:t>
      </w:r>
      <w:r>
        <w:t xml:space="preserve">9 Section "Gypsum </w:t>
      </w:r>
      <w:r w:rsidR="00173C69">
        <w:t>Board Assemblies</w:t>
      </w:r>
      <w:r>
        <w:t>."</w:t>
      </w:r>
    </w:p>
    <w:p w:rsidR="00B24D87" w:rsidRDefault="00B24D87" w:rsidP="00931C3D">
      <w:pPr>
        <w:pStyle w:val="ART"/>
      </w:pPr>
      <w:r>
        <w:t>SUBMITTALS</w:t>
      </w:r>
    </w:p>
    <w:p w:rsidR="00B24D87" w:rsidRDefault="00B24D87" w:rsidP="00931C3D">
      <w:pPr>
        <w:pStyle w:val="PR1"/>
      </w:pPr>
      <w:r>
        <w:t>Wood treatment data, including instructions for handling, storing, installing, and finishing treated materials, and the following:</w:t>
      </w:r>
    </w:p>
    <w:p w:rsidR="00B24D87" w:rsidRDefault="00B24D87" w:rsidP="00931C3D">
      <w:pPr>
        <w:pStyle w:val="PR2"/>
      </w:pPr>
      <w:r>
        <w:t>Certification by treating plant stating type of preservative solution and pressure process used, net amount of preservative retained, and compliance with applicable standards.</w:t>
      </w:r>
    </w:p>
    <w:p w:rsidR="00B24D87" w:rsidRDefault="00B24D87" w:rsidP="00931C3D">
      <w:pPr>
        <w:pStyle w:val="PR2"/>
      </w:pPr>
      <w:r>
        <w:t>Statement that moisture content of treated materials was reduced to levels indicated before shipment to Project site.</w:t>
      </w:r>
    </w:p>
    <w:p w:rsidR="00B24D87" w:rsidRDefault="00B24D87" w:rsidP="00931C3D">
      <w:pPr>
        <w:pStyle w:val="PRT"/>
      </w:pPr>
      <w:r>
        <w:t>PRODUCTS</w:t>
      </w:r>
    </w:p>
    <w:p w:rsidR="00B24D87" w:rsidRDefault="00B24D87" w:rsidP="00931C3D">
      <w:pPr>
        <w:pStyle w:val="ART"/>
      </w:pPr>
      <w:r>
        <w:t>MATERIALS</w:t>
      </w:r>
    </w:p>
    <w:p w:rsidR="00B24D87" w:rsidRDefault="00B24D87" w:rsidP="00931C3D">
      <w:pPr>
        <w:pStyle w:val="PR1"/>
      </w:pPr>
      <w:r>
        <w:t>Lumber Standards:  Manufacturer lumber to comply with PS 20 "American Softwood Lumber Standard" and with applicable grading rules of inspection agencies certified by American Lumber Standards Committee's (ALSC) Board of Review.</w:t>
      </w:r>
    </w:p>
    <w:p w:rsidR="00B24D87" w:rsidRDefault="00B24D87" w:rsidP="00931C3D">
      <w:pPr>
        <w:pStyle w:val="PR1"/>
      </w:pPr>
      <w:r>
        <w:lastRenderedPageBreak/>
        <w:t>Grade Stamps:  Factory-mark each piece of lumber with grade stamp of inspection agency evidencing compliance with grading rule requirements and identifying grading agency, grade, species, moisture content at time of surfacing, and mill.</w:t>
      </w:r>
    </w:p>
    <w:p w:rsidR="00B24D87" w:rsidRDefault="00B24D87" w:rsidP="00931C3D">
      <w:pPr>
        <w:pStyle w:val="PR2"/>
      </w:pPr>
      <w:r>
        <w:t>For exposed lumber apply grade stamps to ends or back of each piece, or omit grade stamps entirely and issue certificate of grade compliance from inspection agency in lieu of grade stamp.</w:t>
      </w:r>
    </w:p>
    <w:p w:rsidR="00B24D87" w:rsidRDefault="00B24D87" w:rsidP="00931C3D">
      <w:pPr>
        <w:pStyle w:val="PR1"/>
      </w:pPr>
      <w:r>
        <w:t>Nominal sizes are indicated, except as shown by detail dimensions.  Provide actual sizes as required by PS 20, for moisture content specified for each use.</w:t>
      </w:r>
    </w:p>
    <w:p w:rsidR="00B24D87" w:rsidRDefault="00B24D87" w:rsidP="00931C3D">
      <w:pPr>
        <w:pStyle w:val="PR2"/>
      </w:pPr>
      <w:r>
        <w:t>Provide seasoned lumber with 19 percent moisture content at the time of dressing and shipment, for sizes 2 inches or less in thickness.</w:t>
      </w:r>
    </w:p>
    <w:p w:rsidR="00B24D87" w:rsidRDefault="00B24D87" w:rsidP="00931C3D">
      <w:pPr>
        <w:pStyle w:val="CMT"/>
      </w:pPr>
      <w:r>
        <w:t>DELETE THIS ARTICLE IF NOT APPLICABLE.</w:t>
      </w:r>
    </w:p>
    <w:p w:rsidR="00B24D87" w:rsidRDefault="00B24D87" w:rsidP="00931C3D">
      <w:pPr>
        <w:pStyle w:val="PR1"/>
      </w:pPr>
      <w:r>
        <w:t>Preservative Treated Materials:  Comply with applicable requirements of AWPA C2 (lumber)</w:t>
      </w:r>
      <w:r w:rsidR="00725871">
        <w:t>, except that lumber that is not in contact with the ground and is continuously protected from liquid water may be treated according to AWPA C31 with inorganic boron (SBX)</w:t>
      </w:r>
      <w:r>
        <w:t xml:space="preserve"> and AWPA C9 (plywood).  Mark each treated item with the Quality Mark Requirements of an inspection agency approved by ALSC's Board of Review.</w:t>
      </w:r>
    </w:p>
    <w:p w:rsidR="00725871" w:rsidRDefault="00725871" w:rsidP="00931C3D">
      <w:pPr>
        <w:pStyle w:val="PR2"/>
      </w:pPr>
      <w:r>
        <w:t xml:space="preserve">Preservative Chemicals </w:t>
      </w:r>
      <w:r w:rsidR="000403ED">
        <w:t>shall</w:t>
      </w:r>
      <w:r>
        <w:t xml:space="preserve"> contain no arsenic or chromium.</w:t>
      </w:r>
    </w:p>
    <w:p w:rsidR="00B24D87" w:rsidRDefault="00B24D87" w:rsidP="00931C3D">
      <w:pPr>
        <w:pStyle w:val="PR2"/>
      </w:pPr>
      <w:r>
        <w:t>Treat indicated items and the following:</w:t>
      </w:r>
    </w:p>
    <w:p w:rsidR="00B24D87" w:rsidRDefault="00B24D87" w:rsidP="00931C3D">
      <w:pPr>
        <w:pStyle w:val="CMT"/>
      </w:pPr>
      <w:r>
        <w:t>Modify list below to suit project.</w:t>
      </w:r>
    </w:p>
    <w:p w:rsidR="00B24D87" w:rsidRDefault="00B24D87" w:rsidP="00931C3D">
      <w:pPr>
        <w:pStyle w:val="PR3"/>
      </w:pPr>
      <w:r>
        <w:t>Wood cants, nailers, curbs, equipment support bases, blocking, stripping, and similar members in connection with roofing, flashing, vapor barriers, and waterproofing.</w:t>
      </w:r>
    </w:p>
    <w:p w:rsidR="00B24D87" w:rsidRDefault="00B24D87" w:rsidP="00931C3D">
      <w:pPr>
        <w:pStyle w:val="PR3"/>
      </w:pPr>
      <w:r>
        <w:t>Wood sills, sleepers, blocking, furring, stripping, and similar concealed members in contact with masonry or concrete.</w:t>
      </w:r>
    </w:p>
    <w:p w:rsidR="00B24D87" w:rsidRDefault="00B24D87" w:rsidP="00931C3D">
      <w:pPr>
        <w:pStyle w:val="PR3"/>
      </w:pPr>
      <w:r>
        <w:t>Wood framing members less than 18 inches (460 mm) above grade.</w:t>
      </w:r>
    </w:p>
    <w:p w:rsidR="00B24D87" w:rsidRDefault="00B24D87" w:rsidP="00931C3D">
      <w:pPr>
        <w:pStyle w:val="PR3"/>
      </w:pPr>
      <w:r>
        <w:t>Wood floor plates installed over concrete slabs directly in contact with earth.</w:t>
      </w:r>
    </w:p>
    <w:p w:rsidR="00B24D87" w:rsidRDefault="00B24D87" w:rsidP="00931C3D">
      <w:pPr>
        <w:pStyle w:val="PR2"/>
      </w:pPr>
      <w:r>
        <w:t>Approved Manufacturers:  Provide treatment chemicals produced by one of the following:</w:t>
      </w:r>
    </w:p>
    <w:p w:rsidR="00725871" w:rsidRDefault="00725871" w:rsidP="00931C3D">
      <w:pPr>
        <w:pStyle w:val="TB3"/>
      </w:pPr>
      <w:r>
        <w:t>Arch Wood Protection, Inc.</w:t>
      </w:r>
    </w:p>
    <w:p w:rsidR="00B24D87" w:rsidRDefault="00B24D87" w:rsidP="00931C3D">
      <w:pPr>
        <w:pStyle w:val="TB3"/>
      </w:pPr>
      <w:r>
        <w:t>Baxter:  J. H. Baxter Co.</w:t>
      </w:r>
    </w:p>
    <w:p w:rsidR="00B24D87" w:rsidRDefault="00B24D87" w:rsidP="00931C3D">
      <w:pPr>
        <w:pStyle w:val="TB3"/>
      </w:pPr>
      <w:r>
        <w:t>Chemical Specialties, Inc.</w:t>
      </w:r>
    </w:p>
    <w:p w:rsidR="00B24D87" w:rsidRDefault="00B24D87" w:rsidP="00931C3D">
      <w:pPr>
        <w:pStyle w:val="TB3"/>
      </w:pPr>
      <w:proofErr w:type="spellStart"/>
      <w:r>
        <w:t>Hickson</w:t>
      </w:r>
      <w:proofErr w:type="spellEnd"/>
      <w:r>
        <w:t xml:space="preserve"> Corp.</w:t>
      </w:r>
    </w:p>
    <w:p w:rsidR="00B24D87" w:rsidRDefault="00B24D87" w:rsidP="00931C3D">
      <w:pPr>
        <w:pStyle w:val="TB3"/>
      </w:pPr>
      <w:r>
        <w:t>Hoover Treated Wood Products, Inc.</w:t>
      </w:r>
    </w:p>
    <w:p w:rsidR="00B24D87" w:rsidRDefault="00B24D87" w:rsidP="00931C3D">
      <w:pPr>
        <w:pStyle w:val="TB3"/>
      </w:pPr>
      <w:proofErr w:type="spellStart"/>
      <w:r>
        <w:t>Osmose</w:t>
      </w:r>
      <w:proofErr w:type="spellEnd"/>
      <w:r>
        <w:t xml:space="preserve"> Wood Preserving, Inc.</w:t>
      </w:r>
    </w:p>
    <w:p w:rsidR="000403ED" w:rsidRDefault="000403ED" w:rsidP="00931C3D">
      <w:pPr>
        <w:pStyle w:val="PR2"/>
      </w:pPr>
      <w:r>
        <w:t>Kiln-dry lumber after treatment to a maximum moisture content of 19 percent.</w:t>
      </w:r>
    </w:p>
    <w:p w:rsidR="00B24D87" w:rsidRDefault="00B24D87" w:rsidP="00931C3D">
      <w:pPr>
        <w:pStyle w:val="PR2"/>
      </w:pPr>
      <w:r>
        <w:t>Complete fabrication of treated items before treatment, where possible.  If cut after treatment, apply field treatment complying with AWPA M4 to cut surfaces.  Inspect each piece of lumber or plywood after drying and discard damaged or defective pieces.</w:t>
      </w:r>
    </w:p>
    <w:p w:rsidR="00B24D87" w:rsidRDefault="00B24D87" w:rsidP="00931C3D">
      <w:pPr>
        <w:pStyle w:val="CMT"/>
      </w:pPr>
      <w:r>
        <w:lastRenderedPageBreak/>
        <w:t>INCLUDE BELOW IF REQUIRED</w:t>
      </w:r>
    </w:p>
    <w:p w:rsidR="00B24D87" w:rsidRDefault="00B24D87" w:rsidP="00931C3D">
      <w:pPr>
        <w:pStyle w:val="PR1"/>
      </w:pPr>
      <w:r>
        <w:t>Fire Resistant Treated Lumber and Plywood:  Where indicated, provide "</w:t>
      </w:r>
      <w:proofErr w:type="spellStart"/>
      <w:r>
        <w:t>Osmose</w:t>
      </w:r>
      <w:proofErr w:type="spellEnd"/>
      <w:r>
        <w:t>" "Flame Proof LHC" or equal.</w:t>
      </w:r>
    </w:p>
    <w:p w:rsidR="00B24D87" w:rsidRDefault="00B24D87" w:rsidP="00931C3D">
      <w:pPr>
        <w:pStyle w:val="CMT"/>
      </w:pPr>
      <w:r>
        <w:t>DELETE BELOW IF NOT APPLICABLE]</w:t>
      </w:r>
    </w:p>
    <w:p w:rsidR="00B24D87" w:rsidRDefault="00B24D87" w:rsidP="00931C3D">
      <w:pPr>
        <w:pStyle w:val="PR2"/>
      </w:pPr>
      <w:r>
        <w:t>Provide fire resistant lumber in each application, unless otherwise indicated.</w:t>
      </w:r>
    </w:p>
    <w:p w:rsidR="00B24D87" w:rsidRDefault="00B24D87" w:rsidP="00931C3D">
      <w:pPr>
        <w:pStyle w:val="PR1"/>
      </w:pPr>
      <w:r>
        <w:t>Dimension Lumber:  Provide lumber of the following product classification and species indicated:</w:t>
      </w:r>
    </w:p>
    <w:p w:rsidR="00B24D87" w:rsidRDefault="00B24D87" w:rsidP="00931C3D">
      <w:pPr>
        <w:pStyle w:val="CMT"/>
      </w:pPr>
      <w:r>
        <w:t>BELOW FOR LIGHT FRAMING (2" to 4" THICK, 2" to 6" WIDE, 10 FEET LONG AND SHORTER).  SPECIFY NO. 2 GRADE FOR STRUCTURAL applications</w:t>
      </w:r>
    </w:p>
    <w:p w:rsidR="00B24D87" w:rsidRDefault="00B24D87" w:rsidP="00931C3D">
      <w:pPr>
        <w:pStyle w:val="PR2"/>
      </w:pPr>
      <w:r>
        <w:t>Concealed Boards:  Standard grade, any species graded under WWPA rules or No. 3 grade Southern Pine graded under SPIB rules.</w:t>
      </w:r>
    </w:p>
    <w:p w:rsidR="00B24D87" w:rsidRDefault="00B24D87" w:rsidP="00931C3D">
      <w:pPr>
        <w:pStyle w:val="PR2"/>
      </w:pPr>
      <w:r>
        <w:t>Lumber for Miscellaneous Uses:  Standard grade lumber for support of other work, including bucks, nailers, blocking, furring, stripping and similar members.</w:t>
      </w:r>
    </w:p>
    <w:p w:rsidR="00B24D87" w:rsidRDefault="00B24D87" w:rsidP="00931C3D">
      <w:pPr>
        <w:pStyle w:val="CMT"/>
      </w:pPr>
      <w:r>
        <w:t>EDIT BELOW TO SUIT PROJECT</w:t>
      </w:r>
    </w:p>
    <w:p w:rsidR="00B24D87" w:rsidRDefault="00B24D87" w:rsidP="00931C3D">
      <w:pPr>
        <w:pStyle w:val="PR1"/>
      </w:pPr>
      <w:r>
        <w:t xml:space="preserve">Plywood:  Provide plywood of APA grade B-C, exterior glue, </w:t>
      </w:r>
      <w:proofErr w:type="gramStart"/>
      <w:r>
        <w:t>southern</w:t>
      </w:r>
      <w:proofErr w:type="gramEnd"/>
      <w:r>
        <w:t xml:space="preserve"> pine veneer for use in concealed locations.</w:t>
      </w:r>
    </w:p>
    <w:p w:rsidR="00B24D87" w:rsidRDefault="00B24D87" w:rsidP="00931C3D">
      <w:pPr>
        <w:pStyle w:val="PR2"/>
      </w:pPr>
      <w:r>
        <w:t xml:space="preserve">Plywood Backing Panels:  For mounting electrical equipment, provide fire-retardant treated plywood panels with grade designation APA C-D PLUGGED INT with exterior </w:t>
      </w:r>
      <w:proofErr w:type="gramStart"/>
      <w:r>
        <w:t>glue,</w:t>
      </w:r>
      <w:proofErr w:type="gramEnd"/>
      <w:r>
        <w:t xml:space="preserve"> and in thickness indicated, or if not otherwise indicated, not less than 23/32-inch.</w:t>
      </w:r>
    </w:p>
    <w:p w:rsidR="00B24D87" w:rsidRDefault="00B24D87" w:rsidP="00931C3D">
      <w:pPr>
        <w:pStyle w:val="PR2"/>
      </w:pPr>
      <w:r>
        <w:t>Plywood Reinforcing Panels:  For concealed installation within drywall partitions, provide fire-retardant treated panels with grade designation APA STRUC I RATED SHEATHING.  Provide units of thickness shown, or if not shown, of thickness matching drywall.</w:t>
      </w:r>
    </w:p>
    <w:p w:rsidR="00B24D87" w:rsidRDefault="00B24D87" w:rsidP="00931C3D">
      <w:pPr>
        <w:pStyle w:val="PR1"/>
      </w:pPr>
      <w:r>
        <w:t>Fasteners and Anchorages:  Provide size, type, material and finish as indicated and as recommended by applicable standards, complying with applicable Federal Specifications for nails, staples, screws, bolts, nuts, washers and anchoring devices.  Provide metal hangers and framing anchors of the size and type recommended by the manufacturer for each use including recommended nails.</w:t>
      </w:r>
    </w:p>
    <w:p w:rsidR="00164D2A" w:rsidRPr="00164D2A" w:rsidRDefault="00B24D87" w:rsidP="00931C3D">
      <w:pPr>
        <w:pStyle w:val="PR2"/>
      </w:pPr>
      <w:r>
        <w:t xml:space="preserve">Where rough carpentry work is exposed to weather, in ground contact, or in area of high relative humidity, provide </w:t>
      </w:r>
      <w:r w:rsidR="00274EC1">
        <w:t xml:space="preserve">connectors, </w:t>
      </w:r>
      <w:r>
        <w:t xml:space="preserve">fasteners and anchorages with a </w:t>
      </w:r>
      <w:r w:rsidR="00164D2A">
        <w:t xml:space="preserve">G185 </w:t>
      </w:r>
      <w:r>
        <w:t xml:space="preserve">hot-dip zinc coating (ASTM </w:t>
      </w:r>
      <w:proofErr w:type="gramStart"/>
      <w:r>
        <w:t>A</w:t>
      </w:r>
      <w:proofErr w:type="gramEnd"/>
      <w:r>
        <w:t xml:space="preserve"> 153</w:t>
      </w:r>
      <w:r w:rsidR="00274EC1">
        <w:t xml:space="preserve"> for fasteners and ASTM A123 for individual connectors</w:t>
      </w:r>
      <w:r>
        <w:t>).</w:t>
      </w:r>
    </w:p>
    <w:p w:rsidR="00164D2A" w:rsidRPr="00164D2A" w:rsidRDefault="00164D2A" w:rsidP="00931C3D">
      <w:pPr>
        <w:pStyle w:val="CMT"/>
      </w:pPr>
      <w:r>
        <w:t>the newer non-cca preservative treatments have shown evidence of increased corrosiveness.  for fasteners used with this material, use type 304 stainless steel fasteners.  for non-ammonia-containing preservatives with a retention level of 0.40 pcf or less, hot-dip galvanized coating with a minimum thickness of 185 mils may suffice.</w:t>
      </w:r>
      <w:r w:rsidRPr="00164D2A">
        <w:t xml:space="preserve"> </w:t>
      </w:r>
      <w:r>
        <w:t xml:space="preserve">the newer non-cca preservative treatments have shown evidence of increased corrosiveness.  for fasteners used with this material, use </w:t>
      </w:r>
      <w:r>
        <w:lastRenderedPageBreak/>
        <w:t>type 304 stainless steel fasteners.  for non-ammonia-containing preservatives with a retention level of 0.40 pcf or less, hot-dip galvanized coating with a minimum thickness of 185 mils may suffice.</w:t>
      </w:r>
    </w:p>
    <w:p w:rsidR="00164D2A" w:rsidRPr="00164D2A" w:rsidRDefault="00274EC1" w:rsidP="00931C3D">
      <w:pPr>
        <w:pStyle w:val="CMT"/>
      </w:pPr>
      <w:r>
        <w:t>for less severfe conditions described above select above paragraph and delete paragraph below.</w:t>
      </w:r>
    </w:p>
    <w:p w:rsidR="00274EC1" w:rsidRPr="00164D2A" w:rsidRDefault="00274EC1" w:rsidP="00931C3D">
      <w:pPr>
        <w:pStyle w:val="PR2"/>
      </w:pPr>
      <w:r>
        <w:t>Where rough carpentry work is exposed to weather, in ground contact, or in area of high relative humidity, provide connectors, fasteners and anchorages of Type 304 or Type 316 stainless steel.</w:t>
      </w:r>
    </w:p>
    <w:p w:rsidR="00B24D87" w:rsidRDefault="00B24D87" w:rsidP="00931C3D">
      <w:pPr>
        <w:pStyle w:val="PR1"/>
      </w:pPr>
      <w:r>
        <w:t>Insulation:  "Dow", "Styrofoam-SM"; 24 inch wide by 2 inch thick boards.</w:t>
      </w:r>
    </w:p>
    <w:p w:rsidR="00B24D87" w:rsidRDefault="00B24D87" w:rsidP="00931C3D">
      <w:pPr>
        <w:pStyle w:val="PRT"/>
      </w:pPr>
      <w:r>
        <w:t>EXECUTION</w:t>
      </w:r>
    </w:p>
    <w:p w:rsidR="00B24D87" w:rsidRDefault="00B24D87" w:rsidP="00931C3D">
      <w:pPr>
        <w:pStyle w:val="ART"/>
      </w:pPr>
      <w:r>
        <w:t>INSTALLATION</w:t>
      </w:r>
    </w:p>
    <w:p w:rsidR="00B24D87" w:rsidRDefault="00B24D87" w:rsidP="00931C3D">
      <w:pPr>
        <w:pStyle w:val="PR1"/>
      </w:pPr>
      <w:r>
        <w:t>Discard units of material with defects which might impair quality of work, and units which are too small to use in fabricating work with minimum joints or optimum joint arrangement.</w:t>
      </w:r>
    </w:p>
    <w:p w:rsidR="00B24D87" w:rsidRDefault="00B24D87" w:rsidP="00931C3D">
      <w:pPr>
        <w:pStyle w:val="PR1"/>
      </w:pPr>
      <w:r>
        <w:t>Set carpentry work to required levels and lines, with members plumb and true to line and cut and fitted.</w:t>
      </w:r>
    </w:p>
    <w:p w:rsidR="00B24D87" w:rsidRDefault="00B24D87" w:rsidP="00931C3D">
      <w:pPr>
        <w:pStyle w:val="PR1"/>
      </w:pPr>
      <w:r>
        <w:t>Install rough carpentry work to comply with recommendations of mfr of product involved for use intended.  Set carpentry work to required levels and lines, with members plumb and true and cut to fit.</w:t>
      </w:r>
    </w:p>
    <w:p w:rsidR="00B24D87" w:rsidRDefault="00B24D87" w:rsidP="00931C3D">
      <w:pPr>
        <w:pStyle w:val="PR1"/>
      </w:pPr>
      <w:r>
        <w:t>Securely attach carpentry work.  Install fasteners without splitting wood: fasten panel products to allow for expansion at joints unless otherwise indicated.</w:t>
      </w:r>
    </w:p>
    <w:p w:rsidR="00B24D87" w:rsidRDefault="00B24D87" w:rsidP="00931C3D">
      <w:pPr>
        <w:pStyle w:val="PR2"/>
      </w:pPr>
      <w:r>
        <w:t>Countersink nail heads on exposed carpentry work and fill holes.</w:t>
      </w:r>
    </w:p>
    <w:p w:rsidR="00B24D87" w:rsidRDefault="00B24D87" w:rsidP="00931C3D">
      <w:pPr>
        <w:pStyle w:val="PR1"/>
      </w:pPr>
      <w:r>
        <w:t>Install plywood backing panels for telephone equipment to substrate as indicated, or if not indicated, with 3/8-inch diameter expansion bolts or toggle bolts spaced 18-inches on center around panel perimeters and on 24-inch centers within panels.</w:t>
      </w:r>
    </w:p>
    <w:p w:rsidR="00B24D87" w:rsidRDefault="00B24D87" w:rsidP="00931C3D">
      <w:pPr>
        <w:pStyle w:val="EOS"/>
      </w:pPr>
      <w:r>
        <w:t>END OF SECTION 06100</w:t>
      </w:r>
      <w:r w:rsidR="009F57A9">
        <w:t>0</w:t>
      </w:r>
    </w:p>
    <w:sectPr w:rsidR="00B24D87" w:rsidSect="00931C3D">
      <w:footerReference w:type="default" r:id="rId15"/>
      <w:pgSz w:w="12240" w:h="15840"/>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1F" w:rsidRDefault="00A07A1F">
      <w:r>
        <w:separator/>
      </w:r>
    </w:p>
  </w:endnote>
  <w:endnote w:type="continuationSeparator" w:id="0">
    <w:p w:rsidR="00A07A1F" w:rsidRDefault="00A0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3D" w:rsidRDefault="00931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7E" w:rsidRPr="00931C3D" w:rsidRDefault="0060737E" w:rsidP="00931C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3D" w:rsidRDefault="00931C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3D" w:rsidRPr="00931C3D" w:rsidRDefault="00931C3D" w:rsidP="00931C3D">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r w:rsidR="00294BBD">
      <w:fldChar w:fldCharType="begin"/>
    </w:r>
    <w:r w:rsidR="00294BBD">
      <w:instrText xml:space="preserve"> DOCPROPERTY "Project"  \* MERGEFORMAT </w:instrText>
    </w:r>
    <w:r w:rsidR="00294BBD">
      <w:fldChar w:fldCharType="separate"/>
    </w:r>
    <w:r>
      <w:t>The Description of the Project</w:t>
    </w:r>
    <w:r w:rsidR="00294BBD">
      <w:fldChar w:fldCharType="end"/>
    </w:r>
    <w:r>
      <w:br/>
    </w:r>
    <w:r w:rsidR="00294BBD">
      <w:fldChar w:fldCharType="begin"/>
    </w:r>
    <w:r w:rsidR="00294BBD">
      <w:instrText xml:space="preserve"> DOCPROPERTY "ProjNo"  \* MERGEFORMAT </w:instrText>
    </w:r>
    <w:r w:rsidR="00294BBD">
      <w:fldChar w:fldCharType="separate"/>
    </w:r>
    <w:r>
      <w:t>P00000000</w:t>
    </w:r>
    <w:r w:rsidR="00294BBD">
      <w:fldChar w:fldCharType="end"/>
    </w:r>
    <w:r>
      <w:t xml:space="preserve">  </w:t>
    </w:r>
    <w:r w:rsidR="00294BBD">
      <w:fldChar w:fldCharType="begin"/>
    </w:r>
    <w:r w:rsidR="00294BBD">
      <w:instrText xml:space="preserve"> DOCPROPERTY "BldgNo"  \* MERGEFORMAT </w:instrText>
    </w:r>
    <w:r w:rsidR="00294BBD">
      <w:fldChar w:fldCharType="separate"/>
    </w:r>
    <w:r>
      <w:t>0000</w:t>
    </w:r>
    <w:r w:rsidR="00294BBD">
      <w:fldChar w:fldCharType="end"/>
    </w:r>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061000 - -  </w:t>
    </w:r>
    <w:r>
      <w:fldChar w:fldCharType="begin"/>
    </w:r>
    <w:r>
      <w:instrText xml:space="preserve"> PAGE  \* MERGEFORMAT </w:instrText>
    </w:r>
    <w:r>
      <w:fldChar w:fldCharType="separate"/>
    </w:r>
    <w:r w:rsidR="00294BB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1F" w:rsidRDefault="00A07A1F">
      <w:r>
        <w:separator/>
      </w:r>
    </w:p>
  </w:footnote>
  <w:footnote w:type="continuationSeparator" w:id="0">
    <w:p w:rsidR="00A07A1F" w:rsidRDefault="00A07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3D" w:rsidRDefault="00931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3D" w:rsidRDefault="00931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3D" w:rsidRDefault="00931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CA16B5"/>
    <w:multiLevelType w:val="multilevel"/>
    <w:tmpl w:val="37A05EAE"/>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nsid w:val="62D83575"/>
    <w:multiLevelType w:val="multilevel"/>
    <w:tmpl w:val="2D64DACC"/>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2"/>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725871"/>
    <w:rsid w:val="000403ED"/>
    <w:rsid w:val="00061C4A"/>
    <w:rsid w:val="00091DD9"/>
    <w:rsid w:val="00164D2A"/>
    <w:rsid w:val="00173C69"/>
    <w:rsid w:val="00274EC1"/>
    <w:rsid w:val="00294BBD"/>
    <w:rsid w:val="003468BC"/>
    <w:rsid w:val="004D00E4"/>
    <w:rsid w:val="00500C0C"/>
    <w:rsid w:val="005E481A"/>
    <w:rsid w:val="0060737E"/>
    <w:rsid w:val="00665FAE"/>
    <w:rsid w:val="00725871"/>
    <w:rsid w:val="008A5A64"/>
    <w:rsid w:val="00931C3D"/>
    <w:rsid w:val="009F57A9"/>
    <w:rsid w:val="00A07A1F"/>
    <w:rsid w:val="00A5069B"/>
    <w:rsid w:val="00A7778B"/>
    <w:rsid w:val="00B24D87"/>
    <w:rsid w:val="00CB28EC"/>
    <w:rsid w:val="00D66982"/>
    <w:rsid w:val="00F3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C3D"/>
    <w:pPr>
      <w:jc w:val="both"/>
    </w:pPr>
    <w:rPr>
      <w:rFonts w:ascii="Courier New" w:hAnsi="Courier New" w:cs="Courier New"/>
    </w:rPr>
  </w:style>
  <w:style w:type="paragraph" w:styleId="Heading1">
    <w:name w:val="heading 1"/>
    <w:basedOn w:val="Normal"/>
    <w:next w:val="Normal"/>
    <w:qFormat/>
    <w:rsid w:val="00665FAE"/>
    <w:pPr>
      <w:keepNext/>
      <w:spacing w:before="240" w:after="60"/>
      <w:outlineLvl w:val="0"/>
    </w:pPr>
    <w:rPr>
      <w:rFonts w:ascii="Arial" w:hAnsi="Arial"/>
      <w:b/>
      <w:kern w:val="28"/>
      <w:sz w:val="28"/>
    </w:rPr>
  </w:style>
  <w:style w:type="paragraph" w:styleId="Heading2">
    <w:name w:val="heading 2"/>
    <w:basedOn w:val="Normal"/>
    <w:next w:val="Normal"/>
    <w:qFormat/>
    <w:rsid w:val="00665FAE"/>
    <w:pPr>
      <w:keepLines/>
      <w:tabs>
        <w:tab w:val="left" w:pos="1008"/>
      </w:tabs>
      <w:spacing w:before="240"/>
      <w:ind w:left="1008" w:hanging="576"/>
      <w:outlineLvl w:val="1"/>
    </w:pPr>
  </w:style>
  <w:style w:type="paragraph" w:styleId="Heading3">
    <w:name w:val="heading 3"/>
    <w:basedOn w:val="Normal"/>
    <w:next w:val="Normal"/>
    <w:qFormat/>
    <w:rsid w:val="00665FAE"/>
    <w:pPr>
      <w:keepLines/>
      <w:tabs>
        <w:tab w:val="left" w:pos="2160"/>
      </w:tabs>
      <w:spacing w:before="240"/>
      <w:ind w:left="2160" w:hanging="576"/>
      <w:outlineLvl w:val="2"/>
    </w:pPr>
  </w:style>
  <w:style w:type="paragraph" w:styleId="Heading4">
    <w:name w:val="heading 4"/>
    <w:basedOn w:val="Normal"/>
    <w:next w:val="Normal"/>
    <w:qFormat/>
    <w:rsid w:val="00665FAE"/>
    <w:pPr>
      <w:tabs>
        <w:tab w:val="left" w:pos="3312"/>
      </w:tabs>
      <w:spacing w:before="240"/>
      <w:ind w:left="3312" w:hanging="576"/>
      <w:outlineLvl w:val="3"/>
    </w:pPr>
  </w:style>
  <w:style w:type="paragraph" w:styleId="Heading5">
    <w:name w:val="heading 5"/>
    <w:basedOn w:val="Normal"/>
    <w:next w:val="NormalIndent"/>
    <w:qFormat/>
    <w:rsid w:val="00665FAE"/>
    <w:pPr>
      <w:ind w:left="720"/>
      <w:outlineLvl w:val="4"/>
    </w:pPr>
    <w:rPr>
      <w:rFonts w:ascii="Times New Roman" w:hAnsi="Times New Roman"/>
      <w:b/>
    </w:rPr>
  </w:style>
  <w:style w:type="paragraph" w:styleId="Heading6">
    <w:name w:val="heading 6"/>
    <w:basedOn w:val="Normal"/>
    <w:next w:val="NormalIndent"/>
    <w:qFormat/>
    <w:rsid w:val="00665FAE"/>
    <w:pPr>
      <w:ind w:left="720"/>
      <w:outlineLvl w:val="5"/>
    </w:pPr>
    <w:rPr>
      <w:rFonts w:ascii="Times New Roman" w:hAnsi="Times New Roman"/>
      <w:u w:val="single"/>
    </w:rPr>
  </w:style>
  <w:style w:type="paragraph" w:styleId="Heading7">
    <w:name w:val="heading 7"/>
    <w:next w:val="NormalIndent"/>
    <w:qFormat/>
    <w:rsid w:val="00665FAE"/>
    <w:pPr>
      <w:ind w:left="720"/>
      <w:outlineLvl w:val="6"/>
    </w:pPr>
    <w:rPr>
      <w:rFonts w:cs="Courier New"/>
    </w:rPr>
  </w:style>
  <w:style w:type="paragraph" w:styleId="Heading8">
    <w:name w:val="heading 8"/>
    <w:basedOn w:val="Normal"/>
    <w:next w:val="NormalIndent"/>
    <w:qFormat/>
    <w:rsid w:val="00665FAE"/>
    <w:pPr>
      <w:ind w:left="720"/>
      <w:outlineLvl w:val="7"/>
    </w:pPr>
    <w:rPr>
      <w:rFonts w:ascii="Times New Roman" w:hAnsi="Times New Roman"/>
      <w:i/>
    </w:rPr>
  </w:style>
  <w:style w:type="paragraph" w:styleId="Heading9">
    <w:name w:val="heading 9"/>
    <w:basedOn w:val="Normal"/>
    <w:next w:val="NormalIndent"/>
    <w:qFormat/>
    <w:rsid w:val="00665FAE"/>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931C3D"/>
    <w:pPr>
      <w:keepNext/>
      <w:numPr>
        <w:ilvl w:val="3"/>
        <w:numId w:val="1"/>
      </w:numPr>
      <w:spacing w:before="360"/>
      <w:outlineLvl w:val="3"/>
    </w:pPr>
    <w:rPr>
      <w:b/>
      <w:caps/>
    </w:rPr>
  </w:style>
  <w:style w:type="paragraph" w:customStyle="1" w:styleId="CMT">
    <w:name w:val="CMT"/>
    <w:basedOn w:val="Normal"/>
    <w:next w:val="Normal"/>
    <w:rsid w:val="00931C3D"/>
    <w:pPr>
      <w:spacing w:before="240"/>
      <w:ind w:left="1440"/>
    </w:pPr>
    <w:rPr>
      <w:b/>
      <w:i/>
      <w:caps/>
      <w:vanish/>
      <w:color w:val="FF00FF"/>
    </w:rPr>
  </w:style>
  <w:style w:type="paragraph" w:customStyle="1" w:styleId="DET">
    <w:name w:val="DET"/>
    <w:basedOn w:val="Normal"/>
    <w:next w:val="Normal"/>
    <w:rsid w:val="00931C3D"/>
    <w:pPr>
      <w:keepNext/>
      <w:numPr>
        <w:numId w:val="1"/>
      </w:numPr>
      <w:outlineLvl w:val="0"/>
    </w:pPr>
    <w:rPr>
      <w:b/>
      <w:caps/>
      <w:u w:val="single"/>
    </w:rPr>
  </w:style>
  <w:style w:type="paragraph" w:styleId="DocumentMap">
    <w:name w:val="Document Map"/>
    <w:semiHidden/>
    <w:rsid w:val="00931C3D"/>
    <w:pPr>
      <w:shd w:val="clear" w:color="auto" w:fill="000080"/>
    </w:pPr>
    <w:rPr>
      <w:rFonts w:ascii="Tahoma" w:hAnsi="Tahoma"/>
      <w:sz w:val="18"/>
    </w:rPr>
  </w:style>
  <w:style w:type="paragraph" w:customStyle="1" w:styleId="EOS">
    <w:name w:val="EOS"/>
    <w:basedOn w:val="Normal"/>
    <w:rsid w:val="00931C3D"/>
    <w:pPr>
      <w:spacing w:before="480"/>
    </w:pPr>
    <w:rPr>
      <w:b/>
      <w:caps/>
    </w:rPr>
  </w:style>
  <w:style w:type="paragraph" w:styleId="Footer">
    <w:name w:val="footer"/>
    <w:basedOn w:val="Normal"/>
    <w:rsid w:val="00931C3D"/>
    <w:pPr>
      <w:jc w:val="center"/>
    </w:pPr>
    <w:rPr>
      <w:b/>
    </w:rPr>
  </w:style>
  <w:style w:type="character" w:styleId="FootnoteReference">
    <w:name w:val="footnote reference"/>
    <w:basedOn w:val="DefaultParagraphFont"/>
    <w:semiHidden/>
    <w:rsid w:val="00665FAE"/>
    <w:rPr>
      <w:position w:val="6"/>
      <w:sz w:val="16"/>
    </w:rPr>
  </w:style>
  <w:style w:type="paragraph" w:styleId="FootnoteText">
    <w:name w:val="footnote text"/>
    <w:basedOn w:val="Normal"/>
    <w:semiHidden/>
    <w:rsid w:val="00665FAE"/>
  </w:style>
  <w:style w:type="paragraph" w:styleId="Header">
    <w:name w:val="header"/>
    <w:basedOn w:val="Normal"/>
    <w:rsid w:val="00665FAE"/>
    <w:pPr>
      <w:tabs>
        <w:tab w:val="center" w:pos="4320"/>
      </w:tabs>
    </w:pPr>
  </w:style>
  <w:style w:type="paragraph" w:styleId="NormalIndent">
    <w:name w:val="Normal Indent"/>
    <w:basedOn w:val="Normal"/>
    <w:rsid w:val="00665FAE"/>
    <w:pPr>
      <w:ind w:left="720"/>
    </w:pPr>
  </w:style>
  <w:style w:type="paragraph" w:styleId="Index1">
    <w:name w:val="index 1"/>
    <w:basedOn w:val="Normal"/>
    <w:next w:val="Normal"/>
    <w:semiHidden/>
    <w:rsid w:val="00665FAE"/>
  </w:style>
  <w:style w:type="paragraph" w:styleId="Index2">
    <w:name w:val="index 2"/>
    <w:basedOn w:val="Normal"/>
    <w:next w:val="Normal"/>
    <w:semiHidden/>
    <w:rsid w:val="00665FAE"/>
    <w:pPr>
      <w:ind w:left="360"/>
    </w:pPr>
  </w:style>
  <w:style w:type="paragraph" w:styleId="Index3">
    <w:name w:val="index 3"/>
    <w:basedOn w:val="Normal"/>
    <w:next w:val="Normal"/>
    <w:semiHidden/>
    <w:rsid w:val="00665FAE"/>
    <w:pPr>
      <w:ind w:left="720"/>
    </w:pPr>
  </w:style>
  <w:style w:type="paragraph" w:styleId="Index4">
    <w:name w:val="index 4"/>
    <w:basedOn w:val="Normal"/>
    <w:next w:val="Normal"/>
    <w:semiHidden/>
    <w:rsid w:val="00665FAE"/>
    <w:pPr>
      <w:ind w:left="1080"/>
    </w:pPr>
  </w:style>
  <w:style w:type="paragraph" w:styleId="Index5">
    <w:name w:val="index 5"/>
    <w:basedOn w:val="Normal"/>
    <w:next w:val="Normal"/>
    <w:semiHidden/>
    <w:rsid w:val="00665FAE"/>
    <w:pPr>
      <w:ind w:left="1440"/>
    </w:pPr>
  </w:style>
  <w:style w:type="paragraph" w:styleId="Index6">
    <w:name w:val="index 6"/>
    <w:basedOn w:val="Normal"/>
    <w:next w:val="Normal"/>
    <w:semiHidden/>
    <w:rsid w:val="00665FAE"/>
    <w:pPr>
      <w:ind w:left="1800"/>
    </w:pPr>
  </w:style>
  <w:style w:type="paragraph" w:styleId="Index7">
    <w:name w:val="index 7"/>
    <w:basedOn w:val="Normal"/>
    <w:next w:val="Normal"/>
    <w:semiHidden/>
    <w:rsid w:val="00665FAE"/>
    <w:pPr>
      <w:ind w:left="2160"/>
    </w:pPr>
  </w:style>
  <w:style w:type="paragraph" w:styleId="IndexHeading">
    <w:name w:val="index heading"/>
    <w:basedOn w:val="Normal"/>
    <w:next w:val="Index1"/>
    <w:semiHidden/>
    <w:rsid w:val="00665FAE"/>
  </w:style>
  <w:style w:type="character" w:styleId="LineNumber">
    <w:name w:val="line number"/>
    <w:basedOn w:val="DefaultParagraphFont"/>
    <w:rsid w:val="00931C3D"/>
  </w:style>
  <w:style w:type="paragraph" w:styleId="ListBullet">
    <w:name w:val="List Bullet"/>
    <w:basedOn w:val="Normal"/>
    <w:autoRedefine/>
    <w:rsid w:val="00665FAE"/>
    <w:pPr>
      <w:numPr>
        <w:numId w:val="3"/>
      </w:numPr>
    </w:pPr>
  </w:style>
  <w:style w:type="character" w:styleId="PageNumber">
    <w:name w:val="page number"/>
    <w:basedOn w:val="DefaultParagraphFont"/>
    <w:rsid w:val="00665FAE"/>
  </w:style>
  <w:style w:type="paragraph" w:customStyle="1" w:styleId="PR1">
    <w:name w:val="PR1"/>
    <w:basedOn w:val="Normal"/>
    <w:rsid w:val="00931C3D"/>
    <w:pPr>
      <w:keepLines/>
      <w:numPr>
        <w:ilvl w:val="4"/>
        <w:numId w:val="1"/>
      </w:numPr>
      <w:spacing w:before="120" w:after="120"/>
      <w:outlineLvl w:val="4"/>
    </w:pPr>
  </w:style>
  <w:style w:type="paragraph" w:customStyle="1" w:styleId="PR2">
    <w:name w:val="PR2"/>
    <w:basedOn w:val="Normal"/>
    <w:rsid w:val="00931C3D"/>
    <w:pPr>
      <w:keepLines/>
      <w:numPr>
        <w:ilvl w:val="5"/>
        <w:numId w:val="1"/>
      </w:numPr>
      <w:outlineLvl w:val="5"/>
    </w:pPr>
  </w:style>
  <w:style w:type="paragraph" w:customStyle="1" w:styleId="PR3">
    <w:name w:val="PR3"/>
    <w:basedOn w:val="Normal"/>
    <w:rsid w:val="00931C3D"/>
    <w:pPr>
      <w:keepLines/>
      <w:numPr>
        <w:ilvl w:val="6"/>
        <w:numId w:val="1"/>
      </w:numPr>
      <w:outlineLvl w:val="6"/>
    </w:pPr>
  </w:style>
  <w:style w:type="paragraph" w:customStyle="1" w:styleId="PR4">
    <w:name w:val="PR4"/>
    <w:basedOn w:val="Normal"/>
    <w:rsid w:val="00931C3D"/>
    <w:pPr>
      <w:keepLines/>
      <w:numPr>
        <w:ilvl w:val="7"/>
        <w:numId w:val="1"/>
      </w:numPr>
      <w:outlineLvl w:val="7"/>
    </w:pPr>
  </w:style>
  <w:style w:type="paragraph" w:customStyle="1" w:styleId="PR5">
    <w:name w:val="PR5"/>
    <w:basedOn w:val="Normal"/>
    <w:rsid w:val="00931C3D"/>
    <w:pPr>
      <w:keepLines/>
      <w:numPr>
        <w:ilvl w:val="8"/>
        <w:numId w:val="1"/>
      </w:numPr>
      <w:outlineLvl w:val="8"/>
    </w:pPr>
  </w:style>
  <w:style w:type="paragraph" w:customStyle="1" w:styleId="PRT">
    <w:name w:val="PRT"/>
    <w:basedOn w:val="Normal"/>
    <w:next w:val="Normal"/>
    <w:rsid w:val="00931C3D"/>
    <w:pPr>
      <w:keepNext/>
      <w:numPr>
        <w:ilvl w:val="2"/>
        <w:numId w:val="1"/>
      </w:numPr>
      <w:spacing w:before="480"/>
    </w:pPr>
    <w:rPr>
      <w:b/>
      <w:caps/>
    </w:rPr>
  </w:style>
  <w:style w:type="paragraph" w:customStyle="1" w:styleId="SCT">
    <w:name w:val="SCT"/>
    <w:basedOn w:val="Normal"/>
    <w:next w:val="PRT"/>
    <w:autoRedefine/>
    <w:rsid w:val="00931C3D"/>
    <w:pPr>
      <w:keepNext/>
      <w:numPr>
        <w:ilvl w:val="1"/>
        <w:numId w:val="1"/>
      </w:numPr>
      <w:outlineLvl w:val="1"/>
    </w:pPr>
    <w:rPr>
      <w:b/>
      <w:caps/>
    </w:rPr>
  </w:style>
  <w:style w:type="paragraph" w:customStyle="1" w:styleId="TB1">
    <w:name w:val="TB1"/>
    <w:basedOn w:val="Normal"/>
    <w:rsid w:val="00931C3D"/>
    <w:pPr>
      <w:tabs>
        <w:tab w:val="left" w:pos="1008"/>
      </w:tabs>
      <w:ind w:left="432"/>
    </w:pPr>
  </w:style>
  <w:style w:type="paragraph" w:customStyle="1" w:styleId="TB2">
    <w:name w:val="TB2"/>
    <w:basedOn w:val="Normal"/>
    <w:rsid w:val="00931C3D"/>
    <w:pPr>
      <w:tabs>
        <w:tab w:val="left" w:pos="2880"/>
        <w:tab w:val="left" w:pos="4320"/>
        <w:tab w:val="left" w:pos="5760"/>
        <w:tab w:val="left" w:pos="7200"/>
        <w:tab w:val="left" w:pos="8640"/>
      </w:tabs>
      <w:ind w:left="1008"/>
    </w:pPr>
  </w:style>
  <w:style w:type="paragraph" w:customStyle="1" w:styleId="TB3">
    <w:name w:val="TB3"/>
    <w:basedOn w:val="Normal"/>
    <w:rsid w:val="00931C3D"/>
    <w:pPr>
      <w:tabs>
        <w:tab w:val="left" w:pos="2160"/>
      </w:tabs>
      <w:ind w:left="1584"/>
    </w:pPr>
  </w:style>
  <w:style w:type="paragraph" w:customStyle="1" w:styleId="TB4">
    <w:name w:val="TB4"/>
    <w:basedOn w:val="Normal"/>
    <w:rsid w:val="00931C3D"/>
    <w:pPr>
      <w:tabs>
        <w:tab w:val="left" w:pos="2736"/>
      </w:tabs>
      <w:ind w:left="2160"/>
    </w:pPr>
  </w:style>
  <w:style w:type="paragraph" w:customStyle="1" w:styleId="TB5">
    <w:name w:val="TB5"/>
    <w:basedOn w:val="Normal"/>
    <w:rsid w:val="00931C3D"/>
    <w:pPr>
      <w:tabs>
        <w:tab w:val="left" w:pos="3312"/>
      </w:tabs>
      <w:ind w:left="2736"/>
    </w:pPr>
  </w:style>
  <w:style w:type="paragraph" w:customStyle="1" w:styleId="TCB">
    <w:name w:val="TCB"/>
    <w:basedOn w:val="Normal"/>
    <w:rsid w:val="00931C3D"/>
    <w:pPr>
      <w:jc w:val="left"/>
    </w:pPr>
    <w:rPr>
      <w:b/>
    </w:rPr>
  </w:style>
  <w:style w:type="paragraph" w:customStyle="1" w:styleId="TCH">
    <w:name w:val="TCH"/>
    <w:basedOn w:val="Normal"/>
    <w:rsid w:val="00931C3D"/>
    <w:pPr>
      <w:spacing w:before="120"/>
      <w:jc w:val="left"/>
    </w:pPr>
    <w:rPr>
      <w:caps/>
      <w:u w:val="single"/>
    </w:rPr>
  </w:style>
  <w:style w:type="paragraph" w:styleId="TOC1">
    <w:name w:val="toc 1"/>
    <w:basedOn w:val="Normal"/>
    <w:next w:val="TOC2"/>
    <w:autoRedefine/>
    <w:rsid w:val="00931C3D"/>
    <w:pPr>
      <w:tabs>
        <w:tab w:val="left" w:pos="2880"/>
      </w:tabs>
      <w:spacing w:before="120"/>
      <w:jc w:val="left"/>
    </w:pPr>
    <w:rPr>
      <w:b/>
      <w:caps/>
    </w:rPr>
  </w:style>
  <w:style w:type="paragraph" w:styleId="TOC2">
    <w:name w:val="toc 2"/>
    <w:basedOn w:val="Normal"/>
    <w:rsid w:val="00931C3D"/>
    <w:pPr>
      <w:tabs>
        <w:tab w:val="left" w:pos="2880"/>
      </w:tabs>
      <w:ind w:left="1210" w:hanging="1008"/>
      <w:jc w:val="left"/>
    </w:pPr>
  </w:style>
  <w:style w:type="paragraph" w:customStyle="1" w:styleId="tocdiv">
    <w:name w:val="toc div"/>
    <w:basedOn w:val="TOC1"/>
    <w:rsid w:val="00931C3D"/>
    <w:pPr>
      <w:tabs>
        <w:tab w:val="right" w:leader="dot" w:pos="9360"/>
      </w:tabs>
    </w:pPr>
    <w:rPr>
      <w:caps w:val="0"/>
      <w:u w:val="single"/>
    </w:rPr>
  </w:style>
  <w:style w:type="paragraph" w:customStyle="1" w:styleId="tocdoc">
    <w:name w:val="toc doc"/>
    <w:basedOn w:val="Normal"/>
    <w:rsid w:val="00931C3D"/>
    <w:pPr>
      <w:tabs>
        <w:tab w:val="left" w:pos="2880"/>
      </w:tabs>
    </w:pPr>
  </w:style>
  <w:style w:type="paragraph" w:customStyle="1" w:styleId="z7L">
    <w:name w:val="z7L"/>
    <w:basedOn w:val="Normal"/>
    <w:rsid w:val="00931C3D"/>
    <w:pPr>
      <w:tabs>
        <w:tab w:val="right" w:pos="1980"/>
      </w:tabs>
      <w:jc w:val="left"/>
    </w:pPr>
    <w:rPr>
      <w:rFonts w:ascii="Arial" w:hAnsi="Arial"/>
      <w:b/>
      <w:w w:val="90"/>
      <w:sz w:val="14"/>
    </w:rPr>
  </w:style>
  <w:style w:type="paragraph" w:customStyle="1" w:styleId="z9">
    <w:name w:val="z9"/>
    <w:basedOn w:val="z7L"/>
    <w:rsid w:val="00931C3D"/>
    <w:pPr>
      <w:spacing w:before="40" w:line="240" w:lineRule="exact"/>
    </w:pPr>
    <w:rPr>
      <w:w w:val="100"/>
      <w:sz w:val="18"/>
    </w:rPr>
  </w:style>
  <w:style w:type="paragraph" w:customStyle="1" w:styleId="z11">
    <w:name w:val="z11"/>
    <w:basedOn w:val="z9"/>
    <w:rsid w:val="00931C3D"/>
    <w:rPr>
      <w:sz w:val="20"/>
    </w:rPr>
  </w:style>
  <w:style w:type="paragraph" w:customStyle="1" w:styleId="z13">
    <w:name w:val="z13"/>
    <w:basedOn w:val="z9"/>
    <w:rsid w:val="00931C3D"/>
    <w:pPr>
      <w:spacing w:line="280" w:lineRule="exact"/>
      <w:ind w:right="20"/>
    </w:pPr>
    <w:rPr>
      <w:sz w:val="24"/>
      <w:szCs w:val="24"/>
    </w:rPr>
  </w:style>
  <w:style w:type="paragraph" w:customStyle="1" w:styleId="z24">
    <w:name w:val="z24"/>
    <w:basedOn w:val="z7L"/>
    <w:rsid w:val="00665FAE"/>
    <w:rPr>
      <w:sz w:val="48"/>
    </w:rPr>
  </w:style>
  <w:style w:type="paragraph" w:customStyle="1" w:styleId="z4">
    <w:name w:val="z4"/>
    <w:basedOn w:val="Normal"/>
    <w:rsid w:val="00931C3D"/>
    <w:pPr>
      <w:tabs>
        <w:tab w:val="right" w:pos="462"/>
        <w:tab w:val="right" w:pos="840"/>
        <w:tab w:val="right" w:pos="2016"/>
      </w:tabs>
    </w:pPr>
    <w:rPr>
      <w:b/>
      <w:w w:val="90"/>
      <w:sz w:val="8"/>
    </w:rPr>
  </w:style>
  <w:style w:type="paragraph" w:customStyle="1" w:styleId="z6L">
    <w:name w:val="z6L"/>
    <w:basedOn w:val="Normal"/>
    <w:autoRedefine/>
    <w:rsid w:val="00931C3D"/>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931C3D"/>
    <w:pPr>
      <w:tabs>
        <w:tab w:val="left" w:pos="1008"/>
        <w:tab w:val="left" w:pos="1584"/>
      </w:tabs>
      <w:jc w:val="right"/>
    </w:pPr>
    <w:rPr>
      <w:rFonts w:ascii="Arial" w:hAnsi="Arial"/>
      <w:bCs/>
      <w:w w:val="90"/>
      <w:sz w:val="12"/>
    </w:rPr>
  </w:style>
  <w:style w:type="paragraph" w:customStyle="1" w:styleId="z7R">
    <w:name w:val="z7R"/>
    <w:basedOn w:val="z7L"/>
    <w:rsid w:val="00931C3D"/>
    <w:pPr>
      <w:jc w:val="right"/>
    </w:pPr>
  </w:style>
  <w:style w:type="paragraph" w:customStyle="1" w:styleId="zlhh">
    <w:name w:val="zlhh"/>
    <w:rsid w:val="00665FAE"/>
    <w:pPr>
      <w:ind w:right="72"/>
      <w:jc w:val="right"/>
    </w:pPr>
    <w:rPr>
      <w:rFonts w:ascii="Book Antiqua" w:hAnsi="Book Antiqua"/>
      <w:b/>
      <w:sz w:val="48"/>
    </w:rPr>
  </w:style>
  <w:style w:type="paragraph" w:customStyle="1" w:styleId="zlhaddr">
    <w:name w:val="zlhaddr"/>
    <w:basedOn w:val="zlhh"/>
    <w:rsid w:val="00665FAE"/>
    <w:rPr>
      <w:b w:val="0"/>
      <w:bCs/>
      <w:sz w:val="16"/>
    </w:rPr>
  </w:style>
  <w:style w:type="paragraph" w:customStyle="1" w:styleId="zlhPE">
    <w:name w:val="zlhPE"/>
    <w:basedOn w:val="zlhh"/>
    <w:rsid w:val="00665FAE"/>
    <w:rPr>
      <w:b w:val="0"/>
      <w:sz w:val="20"/>
    </w:rPr>
  </w:style>
  <w:style w:type="paragraph" w:styleId="BodyText">
    <w:name w:val="Body Text"/>
    <w:basedOn w:val="Normal"/>
    <w:rsid w:val="00665FAE"/>
    <w:pPr>
      <w:jc w:val="center"/>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6</TotalTime>
  <Pages>6</Pages>
  <Words>1236</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carsimon</dc:creator>
  <cp:keywords/>
  <dc:description/>
  <cp:lastModifiedBy>jimkosin</cp:lastModifiedBy>
  <cp:revision>8</cp:revision>
  <cp:lastPrinted>2007-06-14T15:41:00Z</cp:lastPrinted>
  <dcterms:created xsi:type="dcterms:W3CDTF">2012-10-10T17:52:00Z</dcterms:created>
  <dcterms:modified xsi:type="dcterms:W3CDTF">2012-12-13T21:49:00Z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